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C55D0" w:rsidRDefault="00163640">
      <w:r w:rsidRPr="00163640">
        <w:rPr>
          <w:noProof/>
          <w:lang w:eastAsia="en-IE"/>
        </w:rPr>
        <w:drawing>
          <wp:inline distT="0" distB="0" distL="0" distR="0">
            <wp:extent cx="5270500" cy="1668360"/>
            <wp:effectExtent l="0" t="0" r="635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281760" cy="1671924"/>
                    </a:xfrm>
                    <a:prstGeom prst="rect">
                      <a:avLst/>
                    </a:prstGeom>
                    <a:noFill/>
                    <a:ln>
                      <a:noFill/>
                    </a:ln>
                  </pic:spPr>
                </pic:pic>
              </a:graphicData>
            </a:graphic>
          </wp:inline>
        </w:drawing>
      </w:r>
    </w:p>
    <w:p w:rsidR="00163640" w:rsidRDefault="006C469D">
      <w:r>
        <w:fldChar w:fldCharType="begin"/>
      </w:r>
      <w:r>
        <w:instrText xml:space="preserve"> ADDIN EN.CITE &lt;EndNote&gt;&lt;Cite&gt;&lt;Author&gt;Tetlock&lt;/Author&gt;&lt;Year&gt;2007&lt;/Year&gt;&lt;RecNum&gt;4&lt;/RecNum&gt;&lt;DisplayText&gt;(Tetlock, 2007)&lt;/DisplayText&gt;&lt;record&gt;&lt;rec-number&gt;4&lt;/rec-number&gt;&lt;foreign-keys&gt;&lt;key app="EN" db-id="rvvd5eevadrpawezf59xdew70wa0vvsvrv02" timestamp="0"&gt;4&lt;/key&gt;&lt;/foreign-keys&gt;&lt;ref-type name="Journal Article"&gt;17&lt;/ref-type&gt;&lt;contributors&gt;&lt;authors&gt;&lt;author&gt;Tetlock, Paul C&lt;/author&gt;&lt;/authors&gt;&lt;/contributors&gt;&lt;titles&gt;&lt;title&gt;Giving content to investor sentiment: The role of media in the stock market&lt;/title&gt;&lt;secondary-title&gt;The Journal of Finance&lt;/secondary-title&gt;&lt;/titles&gt;&lt;periodical&gt;&lt;full-title&gt;The Journal of Finance&lt;/full-title&gt;&lt;/periodical&gt;&lt;pages&gt;1139-1168&lt;/pages&gt;&lt;volume&gt;62&lt;/volume&gt;&lt;number&gt;3&lt;/number&gt;&lt;dates&gt;&lt;year&gt;2007&lt;/year&gt;&lt;/dates&gt;&lt;isbn&gt;1540-6261&lt;/isbn&gt;&lt;urls&gt;&lt;/urls&gt;&lt;/record&gt;&lt;/Cite&gt;&lt;/EndNote&gt;</w:instrText>
      </w:r>
      <w:r>
        <w:fldChar w:fldCharType="separate"/>
      </w:r>
      <w:r>
        <w:rPr>
          <w:noProof/>
        </w:rPr>
        <w:t>(Tetlock, 2007)</w:t>
      </w:r>
      <w:r>
        <w:fldChar w:fldCharType="end"/>
      </w:r>
    </w:p>
    <w:p w:rsidR="00163640" w:rsidRDefault="00163640">
      <w:r>
        <w:t>VAR Estimates (pp 1148-49)</w:t>
      </w:r>
    </w:p>
    <w:p w:rsidR="00163640" w:rsidRDefault="00163640">
      <w:r w:rsidRPr="00163640">
        <w:rPr>
          <w:noProof/>
          <w:lang w:eastAsia="en-IE"/>
        </w:rPr>
        <w:drawing>
          <wp:inline distT="0" distB="0" distL="0" distR="0">
            <wp:extent cx="5731510" cy="1715828"/>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31510" cy="1715828"/>
                    </a:xfrm>
                    <a:prstGeom prst="rect">
                      <a:avLst/>
                    </a:prstGeom>
                    <a:noFill/>
                    <a:ln>
                      <a:noFill/>
                    </a:ln>
                  </pic:spPr>
                </pic:pic>
              </a:graphicData>
            </a:graphic>
          </wp:inline>
        </w:drawing>
      </w:r>
      <w:r w:rsidRPr="00163640">
        <w:rPr>
          <w:noProof/>
          <w:lang w:eastAsia="en-IE"/>
        </w:rPr>
        <w:drawing>
          <wp:inline distT="0" distB="0" distL="0" distR="0">
            <wp:extent cx="5731510" cy="30840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1510" cy="308404"/>
                    </a:xfrm>
                    <a:prstGeom prst="rect">
                      <a:avLst/>
                    </a:prstGeom>
                    <a:noFill/>
                    <a:ln>
                      <a:noFill/>
                    </a:ln>
                  </pic:spPr>
                </pic:pic>
              </a:graphicData>
            </a:graphic>
          </wp:inline>
        </w:drawing>
      </w:r>
    </w:p>
    <w:p w:rsidR="00163640" w:rsidRDefault="00163640">
      <w:r w:rsidRPr="00163640">
        <w:rPr>
          <w:noProof/>
          <w:lang w:eastAsia="en-IE"/>
        </w:rPr>
        <w:drawing>
          <wp:inline distT="0" distB="0" distL="0" distR="0">
            <wp:extent cx="5086350" cy="2036672"/>
            <wp:effectExtent l="0" t="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088206" cy="2037415"/>
                    </a:xfrm>
                    <a:prstGeom prst="rect">
                      <a:avLst/>
                    </a:prstGeom>
                    <a:noFill/>
                    <a:ln>
                      <a:noFill/>
                    </a:ln>
                  </pic:spPr>
                </pic:pic>
              </a:graphicData>
            </a:graphic>
          </wp:inline>
        </w:drawing>
      </w:r>
    </w:p>
    <w:p w:rsidR="00163640" w:rsidRDefault="00163640">
      <w:r w:rsidRPr="00163640">
        <w:rPr>
          <w:noProof/>
          <w:lang w:eastAsia="en-IE"/>
        </w:rPr>
        <w:drawing>
          <wp:inline distT="0" distB="0" distL="0" distR="0">
            <wp:extent cx="4959350" cy="80628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985630" cy="810557"/>
                    </a:xfrm>
                    <a:prstGeom prst="rect">
                      <a:avLst/>
                    </a:prstGeom>
                    <a:noFill/>
                    <a:ln>
                      <a:noFill/>
                    </a:ln>
                  </pic:spPr>
                </pic:pic>
              </a:graphicData>
            </a:graphic>
          </wp:inline>
        </w:drawing>
      </w:r>
    </w:p>
    <w:p w:rsidR="00163640" w:rsidRDefault="00163640">
      <w:r>
        <w:br w:type="page"/>
      </w:r>
      <w:r w:rsidR="006228FF">
        <w:lastRenderedPageBreak/>
        <w:t>Pp1149:</w:t>
      </w:r>
    </w:p>
    <w:p w:rsidR="006228FF" w:rsidRDefault="006228FF">
      <w:r w:rsidRPr="006228FF">
        <w:rPr>
          <w:noProof/>
          <w:lang w:eastAsia="en-IE"/>
        </w:rPr>
        <w:drawing>
          <wp:inline distT="0" distB="0" distL="0" distR="0">
            <wp:extent cx="5429250" cy="37147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29250" cy="3714750"/>
                    </a:xfrm>
                    <a:prstGeom prst="rect">
                      <a:avLst/>
                    </a:prstGeom>
                    <a:noFill/>
                    <a:ln>
                      <a:noFill/>
                    </a:ln>
                  </pic:spPr>
                </pic:pic>
              </a:graphicData>
            </a:graphic>
          </wp:inline>
        </w:drawing>
      </w:r>
    </w:p>
    <w:p w:rsidR="006228FF" w:rsidRDefault="006228FF">
      <w:r w:rsidRPr="006228FF">
        <w:rPr>
          <w:noProof/>
          <w:lang w:eastAsia="en-IE"/>
        </w:rPr>
        <w:drawing>
          <wp:inline distT="0" distB="0" distL="0" distR="0">
            <wp:extent cx="5731510" cy="2774529"/>
            <wp:effectExtent l="0" t="0" r="254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2774529"/>
                    </a:xfrm>
                    <a:prstGeom prst="rect">
                      <a:avLst/>
                    </a:prstGeom>
                    <a:noFill/>
                    <a:ln>
                      <a:noFill/>
                    </a:ln>
                  </pic:spPr>
                </pic:pic>
              </a:graphicData>
            </a:graphic>
          </wp:inline>
        </w:drawing>
      </w:r>
    </w:p>
    <w:p w:rsidR="006228FF" w:rsidRDefault="006228FF">
      <w:r>
        <w:br w:type="page"/>
      </w:r>
    </w:p>
    <w:p w:rsidR="00163640" w:rsidRDefault="00163640">
      <w:r>
        <w:lastRenderedPageBreak/>
        <w:t>Pp 1150</w:t>
      </w:r>
    </w:p>
    <w:p w:rsidR="00163640" w:rsidRDefault="00163640">
      <w:r w:rsidRPr="00163640">
        <w:rPr>
          <w:noProof/>
          <w:lang w:eastAsia="en-IE"/>
        </w:rPr>
        <w:drawing>
          <wp:inline distT="0" distB="0" distL="0" distR="0">
            <wp:extent cx="4013200" cy="1682772"/>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020660" cy="1685900"/>
                    </a:xfrm>
                    <a:prstGeom prst="rect">
                      <a:avLst/>
                    </a:prstGeom>
                    <a:noFill/>
                    <a:ln>
                      <a:noFill/>
                    </a:ln>
                  </pic:spPr>
                </pic:pic>
              </a:graphicData>
            </a:graphic>
          </wp:inline>
        </w:drawing>
      </w:r>
    </w:p>
    <w:p w:rsidR="00B4691F" w:rsidRDefault="00A83420">
      <w:r w:rsidRPr="00A83420">
        <w:rPr>
          <w:noProof/>
          <w:lang w:eastAsia="en-IE"/>
        </w:rPr>
        <w:drawing>
          <wp:inline distT="0" distB="0" distL="0" distR="0">
            <wp:extent cx="4070350" cy="1130924"/>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081495" cy="1134021"/>
                    </a:xfrm>
                    <a:prstGeom prst="rect">
                      <a:avLst/>
                    </a:prstGeom>
                    <a:noFill/>
                    <a:ln>
                      <a:noFill/>
                    </a:ln>
                  </pic:spPr>
                </pic:pic>
              </a:graphicData>
            </a:graphic>
          </wp:inline>
        </w:drawing>
      </w:r>
    </w:p>
    <w:p w:rsidR="00B4691F" w:rsidRDefault="00B4691F">
      <w:r>
        <w:t>Pp1154 Small-Big volatility</w:t>
      </w:r>
    </w:p>
    <w:p w:rsidR="00B4691F" w:rsidRDefault="00B4691F">
      <w:r w:rsidRPr="00B4691F">
        <w:rPr>
          <w:noProof/>
          <w:lang w:eastAsia="en-IE"/>
        </w:rPr>
        <w:drawing>
          <wp:inline distT="0" distB="0" distL="0" distR="0">
            <wp:extent cx="4296237" cy="295275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300052" cy="2955372"/>
                    </a:xfrm>
                    <a:prstGeom prst="rect">
                      <a:avLst/>
                    </a:prstGeom>
                    <a:noFill/>
                    <a:ln>
                      <a:noFill/>
                    </a:ln>
                  </pic:spPr>
                </pic:pic>
              </a:graphicData>
            </a:graphic>
          </wp:inline>
        </w:drawing>
      </w:r>
    </w:p>
    <w:p w:rsidR="00B4691F" w:rsidRDefault="00B4691F">
      <w:r>
        <w:t>Pp1155</w:t>
      </w:r>
    </w:p>
    <w:p w:rsidR="00B4691F" w:rsidRDefault="00B4691F">
      <w:r w:rsidRPr="00B4691F">
        <w:rPr>
          <w:noProof/>
          <w:lang w:eastAsia="en-IE"/>
        </w:rPr>
        <w:drawing>
          <wp:inline distT="0" distB="0" distL="0" distR="0">
            <wp:extent cx="4292600" cy="133861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319239" cy="1346924"/>
                    </a:xfrm>
                    <a:prstGeom prst="rect">
                      <a:avLst/>
                    </a:prstGeom>
                    <a:noFill/>
                    <a:ln>
                      <a:noFill/>
                    </a:ln>
                  </pic:spPr>
                </pic:pic>
              </a:graphicData>
            </a:graphic>
          </wp:inline>
        </w:drawing>
      </w:r>
    </w:p>
    <w:p w:rsidR="00B4691F" w:rsidRDefault="00B33CF8">
      <w:r w:rsidRPr="00B33CF8">
        <w:rPr>
          <w:noProof/>
          <w:lang w:eastAsia="en-IE"/>
        </w:rPr>
        <w:lastRenderedPageBreak/>
        <w:drawing>
          <wp:inline distT="0" distB="0" distL="0" distR="0">
            <wp:extent cx="4533900" cy="1616740"/>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542504" cy="1619808"/>
                    </a:xfrm>
                    <a:prstGeom prst="rect">
                      <a:avLst/>
                    </a:prstGeom>
                    <a:noFill/>
                    <a:ln>
                      <a:noFill/>
                    </a:ln>
                  </pic:spPr>
                </pic:pic>
              </a:graphicData>
            </a:graphic>
          </wp:inline>
        </w:drawing>
      </w:r>
    </w:p>
    <w:p w:rsidR="00B4691F" w:rsidRDefault="00B33CF8">
      <w:r w:rsidRPr="00B33CF8">
        <w:rPr>
          <w:noProof/>
          <w:lang w:eastAsia="en-IE"/>
        </w:rPr>
        <w:drawing>
          <wp:inline distT="0" distB="0" distL="0" distR="0">
            <wp:extent cx="4607606" cy="340995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611587" cy="3412896"/>
                    </a:xfrm>
                    <a:prstGeom prst="rect">
                      <a:avLst/>
                    </a:prstGeom>
                    <a:noFill/>
                    <a:ln>
                      <a:noFill/>
                    </a:ln>
                  </pic:spPr>
                </pic:pic>
              </a:graphicData>
            </a:graphic>
          </wp:inline>
        </w:drawing>
      </w:r>
    </w:p>
    <w:p w:rsidR="00B33CF8" w:rsidRDefault="00B33CF8">
      <w:r w:rsidRPr="00B33CF8">
        <w:rPr>
          <w:noProof/>
          <w:lang w:eastAsia="en-IE"/>
        </w:rPr>
        <w:drawing>
          <wp:inline distT="0" distB="0" distL="0" distR="0">
            <wp:extent cx="4572000" cy="1467869"/>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578658" cy="1470007"/>
                    </a:xfrm>
                    <a:prstGeom prst="rect">
                      <a:avLst/>
                    </a:prstGeom>
                    <a:noFill/>
                    <a:ln>
                      <a:noFill/>
                    </a:ln>
                  </pic:spPr>
                </pic:pic>
              </a:graphicData>
            </a:graphic>
          </wp:inline>
        </w:drawing>
      </w:r>
    </w:p>
    <w:p w:rsidR="00B33CF8" w:rsidRDefault="00B33CF8"/>
    <w:p w:rsidR="00B33CF8" w:rsidRDefault="00B33CF8">
      <w:r>
        <w:t>Pp 1160</w:t>
      </w:r>
    </w:p>
    <w:p w:rsidR="00B33CF8" w:rsidRDefault="00B33CF8">
      <w:r w:rsidRPr="00B33CF8">
        <w:rPr>
          <w:noProof/>
          <w:lang w:eastAsia="en-IE"/>
        </w:rPr>
        <w:lastRenderedPageBreak/>
        <w:drawing>
          <wp:inline distT="0" distB="0" distL="0" distR="0">
            <wp:extent cx="4380783" cy="3244566"/>
            <wp:effectExtent l="0" t="0" r="127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389379" cy="3250933"/>
                    </a:xfrm>
                    <a:prstGeom prst="rect">
                      <a:avLst/>
                    </a:prstGeom>
                    <a:noFill/>
                    <a:ln>
                      <a:noFill/>
                    </a:ln>
                  </pic:spPr>
                </pic:pic>
              </a:graphicData>
            </a:graphic>
          </wp:inline>
        </w:drawing>
      </w:r>
    </w:p>
    <w:p w:rsidR="00B33CF8" w:rsidRDefault="00B33CF8">
      <w:r>
        <w:t>Pp 1160</w:t>
      </w:r>
    </w:p>
    <w:p w:rsidR="00B33CF8" w:rsidRDefault="00B33CF8">
      <w:r w:rsidRPr="00B33CF8">
        <w:rPr>
          <w:noProof/>
          <w:lang w:eastAsia="en-IE"/>
        </w:rPr>
        <w:drawing>
          <wp:inline distT="0" distB="0" distL="0" distR="0">
            <wp:extent cx="4351655" cy="1841667"/>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357511" cy="1844145"/>
                    </a:xfrm>
                    <a:prstGeom prst="rect">
                      <a:avLst/>
                    </a:prstGeom>
                    <a:noFill/>
                    <a:ln>
                      <a:noFill/>
                    </a:ln>
                  </pic:spPr>
                </pic:pic>
              </a:graphicData>
            </a:graphic>
          </wp:inline>
        </w:drawing>
      </w:r>
    </w:p>
    <w:p w:rsidR="00B33CF8" w:rsidRDefault="00B33CF8">
      <w:r w:rsidRPr="00B33CF8">
        <w:rPr>
          <w:noProof/>
          <w:lang w:eastAsia="en-IE"/>
        </w:rPr>
        <w:drawing>
          <wp:inline distT="0" distB="0" distL="0" distR="0">
            <wp:extent cx="4353820" cy="106797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383962" cy="1075369"/>
                    </a:xfrm>
                    <a:prstGeom prst="rect">
                      <a:avLst/>
                    </a:prstGeom>
                    <a:noFill/>
                    <a:ln>
                      <a:noFill/>
                    </a:ln>
                  </pic:spPr>
                </pic:pic>
              </a:graphicData>
            </a:graphic>
          </wp:inline>
        </w:drawing>
      </w:r>
    </w:p>
    <w:p w:rsidR="00B33CF8" w:rsidRDefault="00B33CF8">
      <w:r w:rsidRPr="00B33CF8">
        <w:rPr>
          <w:noProof/>
          <w:lang w:eastAsia="en-IE"/>
        </w:rPr>
        <w:lastRenderedPageBreak/>
        <w:drawing>
          <wp:inline distT="0" distB="0" distL="0" distR="0">
            <wp:extent cx="4311650" cy="2158419"/>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314145" cy="2159668"/>
                    </a:xfrm>
                    <a:prstGeom prst="rect">
                      <a:avLst/>
                    </a:prstGeom>
                    <a:noFill/>
                    <a:ln>
                      <a:noFill/>
                    </a:ln>
                  </pic:spPr>
                </pic:pic>
              </a:graphicData>
            </a:graphic>
          </wp:inline>
        </w:drawing>
      </w:r>
    </w:p>
    <w:p w:rsidR="00B33CF8" w:rsidRDefault="00B33CF8">
      <w:r w:rsidRPr="00B33CF8">
        <w:rPr>
          <w:noProof/>
          <w:lang w:eastAsia="en-IE"/>
        </w:rPr>
        <w:drawing>
          <wp:inline distT="0" distB="0" distL="0" distR="0">
            <wp:extent cx="4870844" cy="4493260"/>
            <wp:effectExtent l="0" t="0" r="635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72173" cy="4494486"/>
                    </a:xfrm>
                    <a:prstGeom prst="rect">
                      <a:avLst/>
                    </a:prstGeom>
                    <a:noFill/>
                    <a:ln>
                      <a:noFill/>
                    </a:ln>
                  </pic:spPr>
                </pic:pic>
              </a:graphicData>
            </a:graphic>
          </wp:inline>
        </w:drawing>
      </w:r>
    </w:p>
    <w:p w:rsidR="008F6397" w:rsidRDefault="00F26216">
      <w:r w:rsidRPr="00F26216">
        <w:rPr>
          <w:noProof/>
          <w:lang w:eastAsia="en-IE"/>
        </w:rPr>
        <w:lastRenderedPageBreak/>
        <w:drawing>
          <wp:inline distT="0" distB="0" distL="0" distR="0">
            <wp:extent cx="4834285" cy="4083050"/>
            <wp:effectExtent l="0" t="0" r="444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834576" cy="4083296"/>
                    </a:xfrm>
                    <a:prstGeom prst="rect">
                      <a:avLst/>
                    </a:prstGeom>
                    <a:noFill/>
                    <a:ln>
                      <a:noFill/>
                    </a:ln>
                  </pic:spPr>
                </pic:pic>
              </a:graphicData>
            </a:graphic>
          </wp:inline>
        </w:drawing>
      </w:r>
    </w:p>
    <w:p w:rsidR="008F6397" w:rsidRDefault="008F6397">
      <w:r>
        <w:br w:type="page"/>
      </w:r>
    </w:p>
    <w:p w:rsidR="00F26216" w:rsidRDefault="008F6397">
      <w:r>
        <w:lastRenderedPageBreak/>
        <w:t>Garcia</w:t>
      </w:r>
    </w:p>
    <w:p w:rsidR="008F6397" w:rsidRDefault="008F6397">
      <w:r>
        <w:fldChar w:fldCharType="begin"/>
      </w:r>
      <w:r>
        <w:instrText xml:space="preserve"> ADDIN EN.CITE &lt;EndNote&gt;&lt;Cite&gt;&lt;Author&gt;Garcia&lt;/Author&gt;&lt;Year&gt;2013&lt;/Year&gt;&lt;RecNum&gt;16&lt;/RecNum&gt;&lt;DisplayText&gt;(Garcia, 2013)&lt;/DisplayText&gt;&lt;record&gt;&lt;rec-number&gt;16&lt;/rec-number&gt;&lt;foreign-keys&gt;&lt;key app="EN" db-id="rvvd5eevadrpawezf59xdew70wa0vvsvrv02" timestamp="0"&gt;16&lt;/key&gt;&lt;/foreign-keys&gt;&lt;ref-type name="Journal Article"&gt;17&lt;/ref-type&gt;&lt;contributors&gt;&lt;authors&gt;&lt;author&gt;Garcia, Diego&lt;/author&gt;&lt;/authors&gt;&lt;/contributors&gt;&lt;titles&gt;&lt;title&gt;Sentiment during recessions&lt;/title&gt;&lt;secondary-title&gt;The Journal of Finance&lt;/secondary-title&gt;&lt;/titles&gt;&lt;periodical&gt;&lt;full-title&gt;The Journal of Finance&lt;/full-title&gt;&lt;/periodical&gt;&lt;pages&gt;1267-1300&lt;/pages&gt;&lt;volume&gt;68&lt;/volume&gt;&lt;number&gt;3&lt;/number&gt;&lt;dates&gt;&lt;year&gt;2013&lt;/year&gt;&lt;/dates&gt;&lt;isbn&gt;1540-6261&lt;/isbn&gt;&lt;urls&gt;&lt;/urls&gt;&lt;/record&gt;&lt;/Cite&gt;&lt;/EndNote&gt;</w:instrText>
      </w:r>
      <w:r>
        <w:fldChar w:fldCharType="separate"/>
      </w:r>
      <w:r>
        <w:rPr>
          <w:noProof/>
        </w:rPr>
        <w:t>(Garcia, 2013)</w:t>
      </w:r>
      <w:r>
        <w:fldChar w:fldCharType="end"/>
      </w:r>
    </w:p>
    <w:p w:rsidR="008F6397" w:rsidRDefault="008F6397" w:rsidP="008F6397">
      <w:pPr>
        <w:rPr>
          <w:rFonts w:cstheme="minorHAnsi"/>
          <w:sz w:val="32"/>
        </w:rPr>
      </w:pPr>
      <w:r w:rsidRPr="008F6397">
        <w:rPr>
          <w:rFonts w:cstheme="minorHAnsi"/>
          <w:szCs w:val="16"/>
        </w:rPr>
        <w:t xml:space="preserve">This paper studies the effect of sentiment on asset prices during the 20th century (1905 to 2005). As a proxy for sentiment, we use the fraction of positive and negative words in two columns of financial news from the </w:t>
      </w:r>
      <w:r w:rsidRPr="008F6397">
        <w:rPr>
          <w:rFonts w:cstheme="minorHAnsi"/>
          <w:i/>
          <w:iCs/>
          <w:szCs w:val="16"/>
        </w:rPr>
        <w:t>New York Times</w:t>
      </w:r>
      <w:r w:rsidRPr="008F6397">
        <w:rPr>
          <w:rFonts w:cstheme="minorHAnsi"/>
          <w:szCs w:val="16"/>
        </w:rPr>
        <w:t>. The main contribution of the paper is to show that, controlling for other well-known time-series patterns, the predictability of stock returns using news’ content is concentrated in recessions. A one standard deviation shock to our news measure during recessions predicts a change in the conditional average return on the DJIA of 12 basis points over one day.</w:t>
      </w:r>
    </w:p>
    <w:p w:rsidR="009569DA" w:rsidRDefault="00FE03B0" w:rsidP="008F6397">
      <w:pPr>
        <w:rPr>
          <w:rFonts w:cstheme="minorHAnsi"/>
          <w:sz w:val="32"/>
        </w:rPr>
      </w:pPr>
      <w:r>
        <w:rPr>
          <w:rFonts w:cstheme="minorHAnsi"/>
          <w:sz w:val="32"/>
        </w:rPr>
        <w:t>Pp 1277</w:t>
      </w:r>
    </w:p>
    <w:p w:rsidR="00FE03B0" w:rsidRDefault="00FE03B0" w:rsidP="008F6397">
      <w:pPr>
        <w:rPr>
          <w:rFonts w:cstheme="minorHAnsi"/>
          <w:sz w:val="32"/>
        </w:rPr>
      </w:pPr>
      <w:r w:rsidRPr="00FE03B0">
        <w:rPr>
          <w:rFonts w:cstheme="minorHAnsi"/>
          <w:noProof/>
          <w:sz w:val="32"/>
          <w:lang w:eastAsia="en-IE"/>
        </w:rPr>
        <w:drawing>
          <wp:inline distT="0" distB="0" distL="0" distR="0">
            <wp:extent cx="5731510" cy="405070"/>
            <wp:effectExtent l="19050" t="19050" r="2540" b="146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405070"/>
                    </a:xfrm>
                    <a:prstGeom prst="rect">
                      <a:avLst/>
                    </a:prstGeom>
                    <a:noFill/>
                    <a:ln>
                      <a:solidFill>
                        <a:srgbClr val="FF0000"/>
                      </a:solidFill>
                    </a:ln>
                  </pic:spPr>
                </pic:pic>
              </a:graphicData>
            </a:graphic>
          </wp:inline>
        </w:drawing>
      </w:r>
    </w:p>
    <w:p w:rsidR="002872C0" w:rsidRDefault="002872C0" w:rsidP="008F6397">
      <w:pPr>
        <w:rPr>
          <w:rFonts w:cstheme="minorHAnsi"/>
          <w:sz w:val="32"/>
        </w:rPr>
      </w:pPr>
      <w:r>
        <w:rPr>
          <w:rFonts w:cstheme="minorHAnsi"/>
          <w:sz w:val="32"/>
        </w:rPr>
        <w:t>Pp 1279</w:t>
      </w:r>
    </w:p>
    <w:p w:rsidR="002872C0" w:rsidRDefault="002872C0" w:rsidP="008F6397">
      <w:pPr>
        <w:rPr>
          <w:rFonts w:cstheme="minorHAnsi"/>
          <w:sz w:val="32"/>
        </w:rPr>
      </w:pPr>
      <w:r w:rsidRPr="002872C0">
        <w:rPr>
          <w:rFonts w:cstheme="minorHAnsi"/>
          <w:noProof/>
          <w:sz w:val="32"/>
          <w:lang w:eastAsia="en-IE"/>
        </w:rPr>
        <w:drawing>
          <wp:inline distT="0" distB="0" distL="0" distR="0">
            <wp:extent cx="5731510" cy="562372"/>
            <wp:effectExtent l="19050" t="19050" r="21590" b="285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562372"/>
                    </a:xfrm>
                    <a:prstGeom prst="rect">
                      <a:avLst/>
                    </a:prstGeom>
                    <a:noFill/>
                    <a:ln>
                      <a:solidFill>
                        <a:srgbClr val="FF0000"/>
                      </a:solidFill>
                    </a:ln>
                  </pic:spPr>
                </pic:pic>
              </a:graphicData>
            </a:graphic>
          </wp:inline>
        </w:drawing>
      </w:r>
    </w:p>
    <w:p w:rsidR="002872C0" w:rsidRDefault="002872C0" w:rsidP="008F6397">
      <w:pPr>
        <w:rPr>
          <w:rFonts w:cstheme="minorHAnsi"/>
          <w:sz w:val="32"/>
        </w:rPr>
      </w:pPr>
      <w:r>
        <w:rPr>
          <w:rFonts w:cstheme="minorHAnsi"/>
          <w:sz w:val="32"/>
        </w:rPr>
        <w:t>Pp 1281</w:t>
      </w:r>
    </w:p>
    <w:p w:rsidR="002872C0" w:rsidRDefault="002872C0" w:rsidP="008F6397">
      <w:pPr>
        <w:rPr>
          <w:rFonts w:cstheme="minorHAnsi"/>
          <w:sz w:val="32"/>
        </w:rPr>
      </w:pPr>
      <w:r w:rsidRPr="002872C0">
        <w:rPr>
          <w:rFonts w:cstheme="minorHAnsi"/>
          <w:noProof/>
          <w:sz w:val="32"/>
          <w:lang w:eastAsia="en-IE"/>
        </w:rPr>
        <w:drawing>
          <wp:inline distT="0" distB="0" distL="0" distR="0">
            <wp:extent cx="5731510" cy="597114"/>
            <wp:effectExtent l="19050" t="19050" r="21590" b="1270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1510" cy="597114"/>
                    </a:xfrm>
                    <a:prstGeom prst="rect">
                      <a:avLst/>
                    </a:prstGeom>
                    <a:noFill/>
                    <a:ln>
                      <a:solidFill>
                        <a:srgbClr val="FF0000"/>
                      </a:solidFill>
                    </a:ln>
                  </pic:spPr>
                </pic:pic>
              </a:graphicData>
            </a:graphic>
          </wp:inline>
        </w:drawing>
      </w:r>
    </w:p>
    <w:p w:rsidR="009569DA" w:rsidRDefault="009569DA" w:rsidP="008F6397">
      <w:pPr>
        <w:rPr>
          <w:rFonts w:cstheme="minorHAnsi"/>
          <w:sz w:val="32"/>
        </w:rPr>
      </w:pPr>
      <w:r>
        <w:rPr>
          <w:rFonts w:cstheme="minorHAnsi"/>
          <w:sz w:val="32"/>
        </w:rPr>
        <w:t>Pp 1280</w:t>
      </w:r>
    </w:p>
    <w:p w:rsidR="009569DA" w:rsidRDefault="009569DA" w:rsidP="008F6397">
      <w:pPr>
        <w:rPr>
          <w:rFonts w:cstheme="minorHAnsi"/>
          <w:sz w:val="32"/>
        </w:rPr>
      </w:pPr>
      <w:r w:rsidRPr="009569DA">
        <w:rPr>
          <w:rFonts w:cstheme="minorHAnsi"/>
          <w:noProof/>
          <w:sz w:val="32"/>
          <w:lang w:eastAsia="en-IE"/>
        </w:rPr>
        <w:lastRenderedPageBreak/>
        <w:drawing>
          <wp:inline distT="0" distB="0" distL="0" distR="0">
            <wp:extent cx="4556945" cy="41719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559096" cy="4173919"/>
                    </a:xfrm>
                    <a:prstGeom prst="rect">
                      <a:avLst/>
                    </a:prstGeom>
                    <a:noFill/>
                    <a:ln>
                      <a:noFill/>
                    </a:ln>
                  </pic:spPr>
                </pic:pic>
              </a:graphicData>
            </a:graphic>
          </wp:inline>
        </w:drawing>
      </w:r>
    </w:p>
    <w:p w:rsidR="009569DA" w:rsidRDefault="009569DA" w:rsidP="008F6397">
      <w:pPr>
        <w:rPr>
          <w:rFonts w:cstheme="minorHAnsi"/>
          <w:sz w:val="32"/>
        </w:rPr>
      </w:pPr>
      <w:r w:rsidRPr="009569DA">
        <w:rPr>
          <w:rFonts w:cstheme="minorHAnsi"/>
          <w:noProof/>
          <w:sz w:val="32"/>
          <w:lang w:eastAsia="en-IE"/>
        </w:rPr>
        <w:drawing>
          <wp:inline distT="0" distB="0" distL="0" distR="0">
            <wp:extent cx="4133850" cy="4432300"/>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133850" cy="4432300"/>
                    </a:xfrm>
                    <a:prstGeom prst="rect">
                      <a:avLst/>
                    </a:prstGeom>
                    <a:noFill/>
                    <a:ln>
                      <a:noFill/>
                    </a:ln>
                  </pic:spPr>
                </pic:pic>
              </a:graphicData>
            </a:graphic>
          </wp:inline>
        </w:drawing>
      </w:r>
    </w:p>
    <w:p w:rsidR="00FE03B0" w:rsidRDefault="00FE03B0" w:rsidP="008F6397">
      <w:pPr>
        <w:rPr>
          <w:rFonts w:cstheme="minorHAnsi"/>
          <w:sz w:val="32"/>
        </w:rPr>
      </w:pPr>
      <w:r>
        <w:rPr>
          <w:rFonts w:cstheme="minorHAnsi"/>
          <w:sz w:val="32"/>
        </w:rPr>
        <w:lastRenderedPageBreak/>
        <w:t>Pp 1283:</w:t>
      </w:r>
    </w:p>
    <w:p w:rsidR="00FE03B0" w:rsidRDefault="00FE03B0" w:rsidP="008F6397">
      <w:pPr>
        <w:rPr>
          <w:rFonts w:cstheme="minorHAnsi"/>
          <w:sz w:val="32"/>
        </w:rPr>
      </w:pPr>
      <w:r w:rsidRPr="00FE03B0">
        <w:rPr>
          <w:rFonts w:cstheme="minorHAnsi"/>
          <w:noProof/>
          <w:sz w:val="32"/>
          <w:lang w:eastAsia="en-IE"/>
        </w:rPr>
        <w:drawing>
          <wp:inline distT="0" distB="0" distL="0" distR="0">
            <wp:extent cx="5731510" cy="1576047"/>
            <wp:effectExtent l="0" t="0" r="254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1576047"/>
                    </a:xfrm>
                    <a:prstGeom prst="rect">
                      <a:avLst/>
                    </a:prstGeom>
                    <a:noFill/>
                    <a:ln>
                      <a:noFill/>
                    </a:ln>
                  </pic:spPr>
                </pic:pic>
              </a:graphicData>
            </a:graphic>
          </wp:inline>
        </w:drawing>
      </w:r>
    </w:p>
    <w:p w:rsidR="009569DA" w:rsidRDefault="009569DA" w:rsidP="008F6397">
      <w:pPr>
        <w:rPr>
          <w:rFonts w:cstheme="minorHAnsi"/>
          <w:sz w:val="32"/>
        </w:rPr>
      </w:pPr>
      <w:r w:rsidRPr="009569DA">
        <w:rPr>
          <w:rFonts w:cstheme="minorHAnsi"/>
          <w:noProof/>
          <w:sz w:val="32"/>
          <w:lang w:eastAsia="en-IE"/>
        </w:rPr>
        <w:drawing>
          <wp:inline distT="0" distB="0" distL="0" distR="0">
            <wp:extent cx="4565650" cy="6200891"/>
            <wp:effectExtent l="0" t="0" r="635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566891" cy="6202577"/>
                    </a:xfrm>
                    <a:prstGeom prst="rect">
                      <a:avLst/>
                    </a:prstGeom>
                    <a:noFill/>
                    <a:ln>
                      <a:noFill/>
                    </a:ln>
                  </pic:spPr>
                </pic:pic>
              </a:graphicData>
            </a:graphic>
          </wp:inline>
        </w:drawing>
      </w:r>
    </w:p>
    <w:p w:rsidR="002872C0" w:rsidRDefault="002872C0">
      <w:pPr>
        <w:rPr>
          <w:rFonts w:cstheme="minorHAnsi"/>
          <w:sz w:val="32"/>
        </w:rPr>
      </w:pPr>
      <w:r>
        <w:rPr>
          <w:rFonts w:cstheme="minorHAnsi"/>
          <w:sz w:val="32"/>
        </w:rPr>
        <w:br w:type="page"/>
      </w:r>
    </w:p>
    <w:p w:rsidR="006C469D" w:rsidRDefault="002872C0" w:rsidP="008F6397">
      <w:pPr>
        <w:rPr>
          <w:rFonts w:cstheme="minorHAnsi"/>
          <w:sz w:val="32"/>
        </w:rPr>
      </w:pPr>
      <w:r>
        <w:rPr>
          <w:rFonts w:cstheme="minorHAnsi"/>
          <w:sz w:val="32"/>
        </w:rPr>
        <w:lastRenderedPageBreak/>
        <w:t>Pp 1285</w:t>
      </w:r>
    </w:p>
    <w:p w:rsidR="002872C0" w:rsidRDefault="002872C0" w:rsidP="008F6397">
      <w:pPr>
        <w:rPr>
          <w:rFonts w:cstheme="minorHAnsi"/>
          <w:sz w:val="32"/>
        </w:rPr>
      </w:pPr>
      <w:r w:rsidRPr="002872C0">
        <w:rPr>
          <w:rFonts w:cstheme="minorHAnsi"/>
          <w:noProof/>
          <w:sz w:val="32"/>
          <w:lang w:eastAsia="en-IE"/>
        </w:rPr>
        <w:drawing>
          <wp:inline distT="0" distB="0" distL="0" distR="0">
            <wp:extent cx="5598234" cy="560705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601704" cy="5610526"/>
                    </a:xfrm>
                    <a:prstGeom prst="rect">
                      <a:avLst/>
                    </a:prstGeom>
                    <a:noFill/>
                    <a:ln>
                      <a:noFill/>
                    </a:ln>
                  </pic:spPr>
                </pic:pic>
              </a:graphicData>
            </a:graphic>
          </wp:inline>
        </w:drawing>
      </w:r>
    </w:p>
    <w:p w:rsidR="002872C0" w:rsidRDefault="002872C0" w:rsidP="008F6397">
      <w:pPr>
        <w:rPr>
          <w:rFonts w:cstheme="minorHAnsi"/>
          <w:sz w:val="32"/>
        </w:rPr>
      </w:pPr>
      <w:r>
        <w:rPr>
          <w:rFonts w:cstheme="minorHAnsi"/>
          <w:sz w:val="32"/>
        </w:rPr>
        <w:t>Pp1286</w:t>
      </w:r>
    </w:p>
    <w:p w:rsidR="002872C0" w:rsidRPr="008F6397" w:rsidRDefault="002872C0" w:rsidP="008F6397">
      <w:pPr>
        <w:rPr>
          <w:rFonts w:cstheme="minorHAnsi"/>
          <w:sz w:val="32"/>
        </w:rPr>
      </w:pPr>
      <w:r w:rsidRPr="002872C0">
        <w:rPr>
          <w:rFonts w:cstheme="minorHAnsi"/>
          <w:noProof/>
          <w:sz w:val="32"/>
          <w:lang w:eastAsia="en-IE"/>
        </w:rPr>
        <w:lastRenderedPageBreak/>
        <w:drawing>
          <wp:inline distT="0" distB="0" distL="0" distR="0">
            <wp:extent cx="4867422" cy="7231598"/>
            <wp:effectExtent l="0" t="0" r="9525"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872436" cy="7239048"/>
                    </a:xfrm>
                    <a:prstGeom prst="rect">
                      <a:avLst/>
                    </a:prstGeom>
                    <a:noFill/>
                    <a:ln>
                      <a:noFill/>
                    </a:ln>
                  </pic:spPr>
                </pic:pic>
              </a:graphicData>
            </a:graphic>
          </wp:inline>
        </w:drawing>
      </w:r>
    </w:p>
    <w:p w:rsidR="00162E4A" w:rsidRDefault="00162E4A">
      <w:r>
        <w:br w:type="page"/>
      </w:r>
    </w:p>
    <w:p w:rsidR="00162E4A" w:rsidRDefault="00162E4A">
      <w:r>
        <w:lastRenderedPageBreak/>
        <w:fldChar w:fldCharType="begin"/>
      </w:r>
      <w:r>
        <w:instrText xml:space="preserve"> ADDIN EN.CITE &lt;EndNote&gt;&lt;Cite&gt;&lt;Author&gt;Da&lt;/Author&gt;&lt;Year&gt;2014&lt;/Year&gt;&lt;RecNum&gt;1790&lt;/RecNum&gt;&lt;DisplayText&gt;(Da, Engelberg, &amp;amp; Gao, 2014)&lt;/DisplayText&gt;&lt;record&gt;&lt;rec-number&gt;1790&lt;/rec-number&gt;&lt;foreign-keys&gt;&lt;key app="EN" db-id="rvvd5eevadrpawezf59xdew70wa0vvsvrv02" timestamp="1499041100"&gt;1790&lt;/key&gt;&lt;/foreign-keys&gt;&lt;ref-type name="Journal Article"&gt;17&lt;/ref-type&gt;&lt;contributors&gt;&lt;authors&gt;&lt;author&gt;Da, Zhi&lt;/author&gt;&lt;author&gt;Engelberg, Joseph&lt;/author&gt;&lt;author&gt;Gao, Pengjie&lt;/author&gt;&lt;/authors&gt;&lt;/contributors&gt;&lt;titles&gt;&lt;title&gt;The sum of all FEARS investor sentiment and asset prices&lt;/title&gt;&lt;secondary-title&gt;The Review of Financial Studies&lt;/secondary-title&gt;&lt;/titles&gt;&lt;periodical&gt;&lt;full-title&gt;The Review of Financial Studies&lt;/full-title&gt;&lt;/periodical&gt;&lt;pages&gt;1-32&lt;/pages&gt;&lt;volume&gt;28&lt;/volume&gt;&lt;number&gt;1&lt;/number&gt;&lt;dates&gt;&lt;year&gt;2014&lt;/year&gt;&lt;/dates&gt;&lt;isbn&gt;1465-7368&lt;/isbn&gt;&lt;urls&gt;&lt;/urls&gt;&lt;/record&gt;&lt;/Cite&gt;&lt;/EndNote&gt;</w:instrText>
      </w:r>
      <w:r>
        <w:fldChar w:fldCharType="separate"/>
      </w:r>
      <w:r>
        <w:rPr>
          <w:noProof/>
        </w:rPr>
        <w:t>(Da, Engelberg, &amp; Gao, 2014)</w:t>
      </w:r>
      <w:r>
        <w:fldChar w:fldCharType="end"/>
      </w:r>
    </w:p>
    <w:p w:rsidR="00162E4A" w:rsidRDefault="00162E4A" w:rsidP="00162E4A">
      <w:r w:rsidRPr="00162E4A">
        <w:rPr>
          <w:rFonts w:cstheme="minorHAnsi"/>
          <w:szCs w:val="20"/>
        </w:rPr>
        <w:t>In this paper we propose a possible answer: investor sentiment can be directly measured through the Internet search behavior of households. We aggregate the volume of Internet search queries such as “recession,” “bankruptcy,” and “unemployment” from millions of U.S. households to construct a Financial and Economic Attitudes Revealed by Search (FEARS) index.</w:t>
      </w:r>
      <w:r>
        <w:rPr>
          <w:rFonts w:cstheme="minorHAnsi"/>
          <w:szCs w:val="20"/>
        </w:rPr>
        <w:t xml:space="preserve"> </w:t>
      </w:r>
      <w:r w:rsidRPr="00162E4A">
        <w:rPr>
          <w:rFonts w:cstheme="minorHAnsi"/>
          <w:szCs w:val="20"/>
        </w:rPr>
        <w:t>We then quantify the effects of</w:t>
      </w:r>
      <w:r>
        <w:rPr>
          <w:rFonts w:cstheme="minorHAnsi"/>
          <w:szCs w:val="20"/>
        </w:rPr>
        <w:t xml:space="preserve"> </w:t>
      </w:r>
      <w:r w:rsidRPr="00162E4A">
        <w:rPr>
          <w:rFonts w:cstheme="minorHAnsi"/>
          <w:szCs w:val="20"/>
        </w:rPr>
        <w:t>FEARS</w:t>
      </w:r>
      <w:r>
        <w:rPr>
          <w:rFonts w:cstheme="minorHAnsi"/>
          <w:szCs w:val="20"/>
        </w:rPr>
        <w:t xml:space="preserve"> </w:t>
      </w:r>
      <w:r w:rsidRPr="00162E4A">
        <w:rPr>
          <w:rFonts w:cstheme="minorHAnsi"/>
          <w:szCs w:val="20"/>
        </w:rPr>
        <w:t>on asset prices, volatility, and fund flows.</w:t>
      </w:r>
      <w:r>
        <w:rPr>
          <w:rFonts w:cstheme="minorHAnsi"/>
          <w:szCs w:val="20"/>
        </w:rPr>
        <w:t xml:space="preserve"> </w:t>
      </w:r>
      <w:r w:rsidRPr="00162E4A">
        <w:rPr>
          <w:rFonts w:cstheme="minorHAnsi"/>
          <w:szCs w:val="20"/>
        </w:rPr>
        <w:t>We find that</w:t>
      </w:r>
      <w:r>
        <w:rPr>
          <w:rFonts w:cstheme="minorHAnsi"/>
          <w:szCs w:val="20"/>
        </w:rPr>
        <w:t xml:space="preserve"> </w:t>
      </w:r>
      <w:r w:rsidRPr="00162E4A">
        <w:rPr>
          <w:rFonts w:cstheme="minorHAnsi"/>
          <w:szCs w:val="20"/>
        </w:rPr>
        <w:t>FEARS predict return reversals: although increases in FEARS correspond with low market-level returns today, they predict high returns (reversal) over the next few days. Moreover, increases in FEARS coincide with only temporary increases in market volatility and predict mutual fund flow out of equity funds and into bond funds. Such trading patterns and price reversals can also come from liquidity shocks, as modeled in Campbell, Grossman andWang (1993; CGWhereafter). In this case, high-frequency investor sentiment, as measured by FEARS, turns out to be a powerful trigger of liquidity shocks that affect prices</w:t>
      </w:r>
      <w:r>
        <w:rPr>
          <w:rFonts w:ascii="Times-Roman" w:hAnsi="Times-Roman" w:cs="Times-Roman"/>
          <w:sz w:val="20"/>
          <w:szCs w:val="20"/>
        </w:rPr>
        <w:t>.</w:t>
      </w:r>
    </w:p>
    <w:p w:rsidR="003A60A5" w:rsidRDefault="003A60A5" w:rsidP="00162E4A"/>
    <w:p w:rsidR="003A60A5" w:rsidRDefault="003A60A5" w:rsidP="00162E4A">
      <w:r>
        <w:t xml:space="preserve">Pp </w:t>
      </w:r>
    </w:p>
    <w:p w:rsidR="003A60A5" w:rsidRDefault="003A60A5" w:rsidP="00162E4A">
      <w:r w:rsidRPr="003A60A5">
        <w:rPr>
          <w:noProof/>
          <w:lang w:eastAsia="en-IE"/>
        </w:rPr>
        <w:drawing>
          <wp:inline distT="0" distB="0" distL="0" distR="0">
            <wp:extent cx="5683250" cy="261683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683250" cy="2616835"/>
                    </a:xfrm>
                    <a:prstGeom prst="rect">
                      <a:avLst/>
                    </a:prstGeom>
                    <a:noFill/>
                    <a:ln>
                      <a:noFill/>
                    </a:ln>
                  </pic:spPr>
                </pic:pic>
              </a:graphicData>
            </a:graphic>
          </wp:inline>
        </w:drawing>
      </w:r>
    </w:p>
    <w:p w:rsidR="003A60A5" w:rsidRDefault="003A60A5"/>
    <w:p w:rsidR="003A60A5" w:rsidRDefault="003A60A5">
      <w:r>
        <w:t>Pp12</w:t>
      </w:r>
    </w:p>
    <w:p w:rsidR="003A60A5" w:rsidRDefault="003A60A5">
      <w:r w:rsidRPr="003A60A5">
        <w:rPr>
          <w:noProof/>
          <w:lang w:eastAsia="en-IE"/>
        </w:rPr>
        <w:lastRenderedPageBreak/>
        <w:drawing>
          <wp:inline distT="0" distB="0" distL="0" distR="0">
            <wp:extent cx="5731510" cy="1374189"/>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1510" cy="1374189"/>
                    </a:xfrm>
                    <a:prstGeom prst="rect">
                      <a:avLst/>
                    </a:prstGeom>
                    <a:noFill/>
                    <a:ln>
                      <a:noFill/>
                    </a:ln>
                  </pic:spPr>
                </pic:pic>
              </a:graphicData>
            </a:graphic>
          </wp:inline>
        </w:drawing>
      </w:r>
      <w:r w:rsidRPr="003A60A5">
        <w:rPr>
          <w:noProof/>
          <w:lang w:eastAsia="en-IE"/>
        </w:rPr>
        <w:drawing>
          <wp:inline distT="0" distB="0" distL="0" distR="0">
            <wp:extent cx="5731510" cy="1289463"/>
            <wp:effectExtent l="0" t="0" r="254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1510" cy="1289463"/>
                    </a:xfrm>
                    <a:prstGeom prst="rect">
                      <a:avLst/>
                    </a:prstGeom>
                    <a:noFill/>
                    <a:ln>
                      <a:noFill/>
                    </a:ln>
                  </pic:spPr>
                </pic:pic>
              </a:graphicData>
            </a:graphic>
          </wp:inline>
        </w:drawing>
      </w:r>
    </w:p>
    <w:p w:rsidR="003A60A5" w:rsidRDefault="003A60A5">
      <w:r>
        <w:t>Pp 13-14</w:t>
      </w:r>
    </w:p>
    <w:p w:rsidR="003A60A5" w:rsidRDefault="003A60A5">
      <w:r w:rsidRPr="003A60A5">
        <w:rPr>
          <w:noProof/>
          <w:lang w:eastAsia="en-IE"/>
        </w:rPr>
        <w:drawing>
          <wp:inline distT="0" distB="0" distL="0" distR="0">
            <wp:extent cx="5731510" cy="2321772"/>
            <wp:effectExtent l="0" t="0" r="2540"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2321772"/>
                    </a:xfrm>
                    <a:prstGeom prst="rect">
                      <a:avLst/>
                    </a:prstGeom>
                    <a:noFill/>
                    <a:ln>
                      <a:noFill/>
                    </a:ln>
                  </pic:spPr>
                </pic:pic>
              </a:graphicData>
            </a:graphic>
          </wp:inline>
        </w:drawing>
      </w:r>
      <w:r w:rsidRPr="003A60A5">
        <w:rPr>
          <w:noProof/>
          <w:lang w:eastAsia="en-IE"/>
        </w:rPr>
        <w:drawing>
          <wp:inline distT="0" distB="0" distL="0" distR="0">
            <wp:extent cx="5731510" cy="601580"/>
            <wp:effectExtent l="0" t="0" r="254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1510" cy="601580"/>
                    </a:xfrm>
                    <a:prstGeom prst="rect">
                      <a:avLst/>
                    </a:prstGeom>
                    <a:noFill/>
                    <a:ln>
                      <a:noFill/>
                    </a:ln>
                  </pic:spPr>
                </pic:pic>
              </a:graphicData>
            </a:graphic>
          </wp:inline>
        </w:drawing>
      </w:r>
      <w:r w:rsidRPr="003A60A5">
        <w:rPr>
          <w:noProof/>
          <w:lang w:eastAsia="en-IE"/>
        </w:rPr>
        <w:drawing>
          <wp:inline distT="0" distB="0" distL="0" distR="0">
            <wp:extent cx="5706110" cy="630555"/>
            <wp:effectExtent l="0" t="0" r="889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06110" cy="630555"/>
                    </a:xfrm>
                    <a:prstGeom prst="rect">
                      <a:avLst/>
                    </a:prstGeom>
                    <a:noFill/>
                    <a:ln>
                      <a:noFill/>
                    </a:ln>
                  </pic:spPr>
                </pic:pic>
              </a:graphicData>
            </a:graphic>
          </wp:inline>
        </w:drawing>
      </w:r>
    </w:p>
    <w:p w:rsidR="003A60A5" w:rsidRDefault="003A60A5">
      <w:r w:rsidRPr="003A60A5">
        <w:rPr>
          <w:noProof/>
          <w:lang w:eastAsia="en-IE"/>
        </w:rPr>
        <w:lastRenderedPageBreak/>
        <w:drawing>
          <wp:inline distT="0" distB="0" distL="0" distR="0">
            <wp:extent cx="5731510" cy="5799512"/>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1510" cy="5799512"/>
                    </a:xfrm>
                    <a:prstGeom prst="rect">
                      <a:avLst/>
                    </a:prstGeom>
                    <a:noFill/>
                    <a:ln>
                      <a:noFill/>
                    </a:ln>
                  </pic:spPr>
                </pic:pic>
              </a:graphicData>
            </a:graphic>
          </wp:inline>
        </w:drawing>
      </w:r>
    </w:p>
    <w:p w:rsidR="003A60A5" w:rsidRDefault="003A60A5"/>
    <w:p w:rsidR="008F6397" w:rsidRDefault="008F6397">
      <w:r>
        <w:br w:type="page"/>
      </w:r>
    </w:p>
    <w:p w:rsidR="00624D0D" w:rsidRDefault="00624D0D">
      <w:pPr>
        <w:rPr>
          <w:rFonts w:cstheme="minorHAnsi"/>
          <w:color w:val="333333"/>
          <w:shd w:val="clear" w:color="auto" w:fill="F9F9F9"/>
        </w:rPr>
      </w:pPr>
      <w:r>
        <w:rPr>
          <w:rFonts w:cstheme="minorHAnsi"/>
          <w:color w:val="333333"/>
          <w:shd w:val="clear" w:color="auto" w:fill="F9F9F9"/>
        </w:rPr>
        <w:lastRenderedPageBreak/>
        <w:fldChar w:fldCharType="begin"/>
      </w:r>
      <w:r>
        <w:rPr>
          <w:rFonts w:cstheme="minorHAnsi"/>
          <w:color w:val="333333"/>
          <w:shd w:val="clear" w:color="auto" w:fill="F9F9F9"/>
        </w:rPr>
        <w:instrText xml:space="preserve"> ADDIN EN.CITE &lt;EndNote&gt;&lt;Cite&gt;&lt;Author&gt;Baker&lt;/Author&gt;&lt;Year&gt;2006&lt;/Year&gt;&lt;RecNum&gt;251&lt;/RecNum&gt;&lt;DisplayText&gt;(Baker &amp;amp; Wurgler, 2006)&lt;/DisplayText&gt;&lt;record&gt;&lt;rec-number&gt;251&lt;/rec-number&gt;&lt;foreign-keys&gt;&lt;key app="EN" db-id="rvvd5eevadrpawezf59xdew70wa0vvsvrv02" timestamp="0"&gt;251&lt;/key&gt;&lt;/foreign-keys&gt;&lt;ref-type name="Journal Article"&gt;17&lt;/ref-type&gt;&lt;contributors&gt;&lt;authors&gt;&lt;author&gt;Baker, Malcolm&lt;/author&gt;&lt;author&gt;Wurgler, Jeffrey&lt;/author&gt;&lt;/authors&gt;&lt;/contributors&gt;&lt;titles&gt;&lt;title&gt;Investor sentiment and the cross‐section of stock returns&lt;/title&gt;&lt;secondary-title&gt;The Journal of Finance&lt;/secondary-title&gt;&lt;/titles&gt;&lt;periodical&gt;&lt;full-title&gt;The Journal of Finance&lt;/full-title&gt;&lt;/periodical&gt;&lt;pages&gt;1645-1680&lt;/pages&gt;&lt;volume&gt;61&lt;/volume&gt;&lt;number&gt;4&lt;/number&gt;&lt;dates&gt;&lt;year&gt;2006&lt;/year&gt;&lt;/dates&gt;&lt;isbn&gt;1540-6261&lt;/isbn&gt;&lt;urls&gt;&lt;/urls&gt;&lt;/record&gt;&lt;/Cite&gt;&lt;/EndNote&gt;</w:instrText>
      </w:r>
      <w:r>
        <w:rPr>
          <w:rFonts w:cstheme="minorHAnsi"/>
          <w:color w:val="333333"/>
          <w:shd w:val="clear" w:color="auto" w:fill="F9F9F9"/>
        </w:rPr>
        <w:fldChar w:fldCharType="separate"/>
      </w:r>
      <w:r>
        <w:rPr>
          <w:rFonts w:cstheme="minorHAnsi"/>
          <w:noProof/>
          <w:color w:val="333333"/>
          <w:shd w:val="clear" w:color="auto" w:fill="F9F9F9"/>
        </w:rPr>
        <w:t>(Baker &amp; Wurgler, 2006)</w:t>
      </w:r>
      <w:r>
        <w:rPr>
          <w:rFonts w:cstheme="minorHAnsi"/>
          <w:color w:val="333333"/>
          <w:shd w:val="clear" w:color="auto" w:fill="F9F9F9"/>
        </w:rPr>
        <w:fldChar w:fldCharType="end"/>
      </w:r>
    </w:p>
    <w:p w:rsidR="0064454D" w:rsidRPr="00624D0D" w:rsidRDefault="00624D0D">
      <w:pPr>
        <w:rPr>
          <w:rFonts w:cstheme="minorHAnsi"/>
        </w:rPr>
      </w:pPr>
      <w:r w:rsidRPr="00624D0D">
        <w:rPr>
          <w:rFonts w:cstheme="minorHAnsi"/>
          <w:color w:val="333333"/>
          <w:shd w:val="clear" w:color="auto" w:fill="F9F9F9"/>
        </w:rPr>
        <w:t>We study how investor sentiment affects the cross-section of stock returns. We predict that a wave of investor sentiment has larger effects on securities whose valuations are highly subjective and difficult to arbitrage. Consistent with this prediction, we find that when beginning-of-period proxies for sentiment are low, subsequent returns are relatively high for small stocks, young stocks, high volatility stocks, unprofitable stocks, non-dividend-paying stocks, extreme growth stocks, and distressed stocks. When sentiment is high, on the other hand, these categories of stock earn relatively low subsequent returns.</w:t>
      </w:r>
      <w:r w:rsidR="0064454D" w:rsidRPr="00624D0D">
        <w:rPr>
          <w:rFonts w:cstheme="minorHAnsi"/>
        </w:rPr>
        <w:t>.</w:t>
      </w:r>
    </w:p>
    <w:p w:rsidR="008F6397" w:rsidRDefault="00624D0D">
      <w:r>
        <w:t>Pp 1652</w:t>
      </w:r>
    </w:p>
    <w:p w:rsidR="00624D0D" w:rsidRDefault="00624D0D">
      <w:r>
        <w:t>A. Empirical Approach Theory and historical anecdote both suggest that sentiment may cause systematic patterns of mispricing. Because mispricing is hard to identify directly, however, our approach is to look for systematic patterns of mispricing correction. For example, a pattern in which returns on young and unprofitable growth firms are (on average) especially low when beginning-of-period sentiment is estimated to be high may represent the correction of a bubble in growth stocks. Specifically, to identify sentiment-driven changes in cross-sectional predictability patterns, we need to control for two more basic effects, namely, the generic impact of investor sentiment on all stocks and the generic impact of characteristics across all time periods. Thus, we organize our analysis loosely around the following predictive specification:</w:t>
      </w:r>
    </w:p>
    <w:p w:rsidR="00624D0D" w:rsidRDefault="00624D0D">
      <w:r>
        <w:t>Pp</w:t>
      </w:r>
    </w:p>
    <w:p w:rsidR="00624D0D" w:rsidRDefault="00624D0D">
      <w:r w:rsidRPr="00624D0D">
        <w:rPr>
          <w:noProof/>
          <w:lang w:eastAsia="en-IE"/>
        </w:rPr>
        <w:drawing>
          <wp:inline distT="0" distB="0" distL="0" distR="0">
            <wp:extent cx="5731510" cy="2874819"/>
            <wp:effectExtent l="0" t="0" r="254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31510" cy="2874819"/>
                    </a:xfrm>
                    <a:prstGeom prst="rect">
                      <a:avLst/>
                    </a:prstGeom>
                    <a:noFill/>
                    <a:ln>
                      <a:noFill/>
                    </a:ln>
                  </pic:spPr>
                </pic:pic>
              </a:graphicData>
            </a:graphic>
          </wp:inline>
        </w:drawing>
      </w:r>
    </w:p>
    <w:p w:rsidR="00624D0D" w:rsidRDefault="00624D0D"/>
    <w:p w:rsidR="00624D0D" w:rsidRDefault="00624D0D">
      <w:r w:rsidRPr="00624D0D">
        <w:rPr>
          <w:noProof/>
          <w:lang w:eastAsia="en-IE"/>
        </w:rPr>
        <w:lastRenderedPageBreak/>
        <w:drawing>
          <wp:inline distT="0" distB="0" distL="0" distR="0">
            <wp:extent cx="5731510" cy="3574620"/>
            <wp:effectExtent l="0" t="0" r="2540"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31510" cy="3574620"/>
                    </a:xfrm>
                    <a:prstGeom prst="rect">
                      <a:avLst/>
                    </a:prstGeom>
                    <a:noFill/>
                    <a:ln>
                      <a:noFill/>
                    </a:ln>
                  </pic:spPr>
                </pic:pic>
              </a:graphicData>
            </a:graphic>
          </wp:inline>
        </w:drawing>
      </w:r>
    </w:p>
    <w:p w:rsidR="00624D0D" w:rsidRDefault="00624D0D">
      <w:r>
        <w:t>Pp1657-68</w:t>
      </w:r>
    </w:p>
    <w:p w:rsidR="00624D0D" w:rsidRDefault="00624D0D">
      <w:r w:rsidRPr="00624D0D">
        <w:rPr>
          <w:noProof/>
          <w:lang w:eastAsia="en-IE"/>
        </w:rPr>
        <w:drawing>
          <wp:inline distT="0" distB="0" distL="0" distR="0">
            <wp:extent cx="5405120" cy="2471420"/>
            <wp:effectExtent l="0" t="0" r="5080"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05120" cy="2471420"/>
                    </a:xfrm>
                    <a:prstGeom prst="rect">
                      <a:avLst/>
                    </a:prstGeom>
                    <a:noFill/>
                    <a:ln>
                      <a:noFill/>
                    </a:ln>
                  </pic:spPr>
                </pic:pic>
              </a:graphicData>
            </a:graphic>
          </wp:inline>
        </w:drawing>
      </w:r>
    </w:p>
    <w:p w:rsidR="00624D0D" w:rsidRDefault="00624D0D">
      <w:r w:rsidRPr="00624D0D">
        <w:rPr>
          <w:noProof/>
          <w:lang w:eastAsia="en-IE"/>
        </w:rPr>
        <w:drawing>
          <wp:inline distT="0" distB="0" distL="0" distR="0">
            <wp:extent cx="5405120" cy="1741805"/>
            <wp:effectExtent l="0" t="0" r="508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05120" cy="1741805"/>
                    </a:xfrm>
                    <a:prstGeom prst="rect">
                      <a:avLst/>
                    </a:prstGeom>
                    <a:noFill/>
                    <a:ln>
                      <a:noFill/>
                    </a:ln>
                  </pic:spPr>
                </pic:pic>
              </a:graphicData>
            </a:graphic>
          </wp:inline>
        </w:drawing>
      </w:r>
    </w:p>
    <w:p w:rsidR="00624D0D" w:rsidRDefault="00624D0D">
      <w:r w:rsidRPr="00624D0D">
        <w:rPr>
          <w:noProof/>
          <w:lang w:eastAsia="en-IE"/>
        </w:rPr>
        <w:lastRenderedPageBreak/>
        <w:drawing>
          <wp:inline distT="0" distB="0" distL="0" distR="0">
            <wp:extent cx="5353050" cy="406273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53050" cy="4062730"/>
                    </a:xfrm>
                    <a:prstGeom prst="rect">
                      <a:avLst/>
                    </a:prstGeom>
                    <a:noFill/>
                    <a:ln>
                      <a:noFill/>
                    </a:ln>
                  </pic:spPr>
                </pic:pic>
              </a:graphicData>
            </a:graphic>
          </wp:inline>
        </w:drawing>
      </w:r>
      <w:r w:rsidRPr="00624D0D">
        <w:rPr>
          <w:noProof/>
          <w:lang w:eastAsia="en-IE"/>
        </w:rPr>
        <w:drawing>
          <wp:inline distT="0" distB="0" distL="0" distR="0">
            <wp:extent cx="5330190" cy="1765300"/>
            <wp:effectExtent l="0" t="0" r="381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330190" cy="1765300"/>
                    </a:xfrm>
                    <a:prstGeom prst="rect">
                      <a:avLst/>
                    </a:prstGeom>
                    <a:noFill/>
                    <a:ln>
                      <a:noFill/>
                    </a:ln>
                  </pic:spPr>
                </pic:pic>
              </a:graphicData>
            </a:graphic>
          </wp:inline>
        </w:drawing>
      </w:r>
    </w:p>
    <w:p w:rsidR="00624D0D" w:rsidRDefault="00624D0D"/>
    <w:p w:rsidR="00624D0D" w:rsidRDefault="00624D0D">
      <w:r w:rsidRPr="00624D0D">
        <w:rPr>
          <w:noProof/>
          <w:lang w:eastAsia="en-IE"/>
        </w:rPr>
        <w:lastRenderedPageBreak/>
        <w:drawing>
          <wp:inline distT="0" distB="0" distL="0" distR="0">
            <wp:extent cx="4234767" cy="6602480"/>
            <wp:effectExtent l="0" t="2858"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rot="5400000">
                      <a:off x="0" y="0"/>
                      <a:ext cx="4249169" cy="6624934"/>
                    </a:xfrm>
                    <a:prstGeom prst="rect">
                      <a:avLst/>
                    </a:prstGeom>
                    <a:noFill/>
                    <a:ln>
                      <a:noFill/>
                    </a:ln>
                  </pic:spPr>
                </pic:pic>
              </a:graphicData>
            </a:graphic>
          </wp:inline>
        </w:drawing>
      </w:r>
    </w:p>
    <w:p w:rsidR="00624D0D" w:rsidRDefault="00624D0D"/>
    <w:p w:rsidR="00624D0D" w:rsidRDefault="00624D0D">
      <w:r w:rsidRPr="00624D0D">
        <w:rPr>
          <w:noProof/>
          <w:lang w:eastAsia="en-IE"/>
        </w:rPr>
        <w:drawing>
          <wp:inline distT="0" distB="0" distL="0" distR="0">
            <wp:extent cx="3683745" cy="6238134"/>
            <wp:effectExtent l="0" t="635"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rot="5400000">
                      <a:off x="0" y="0"/>
                      <a:ext cx="3687291" cy="6244139"/>
                    </a:xfrm>
                    <a:prstGeom prst="rect">
                      <a:avLst/>
                    </a:prstGeom>
                    <a:noFill/>
                    <a:ln>
                      <a:noFill/>
                    </a:ln>
                  </pic:spPr>
                </pic:pic>
              </a:graphicData>
            </a:graphic>
          </wp:inline>
        </w:drawing>
      </w:r>
    </w:p>
    <w:p w:rsidR="00624D0D" w:rsidRDefault="0041130A">
      <w:r w:rsidRPr="0041130A">
        <w:rPr>
          <w:noProof/>
          <w:lang w:eastAsia="en-IE"/>
        </w:rPr>
        <w:lastRenderedPageBreak/>
        <w:drawing>
          <wp:inline distT="0" distB="0" distL="0" distR="0">
            <wp:extent cx="5683250" cy="7326630"/>
            <wp:effectExtent l="0" t="0" r="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683250" cy="7326630"/>
                    </a:xfrm>
                    <a:prstGeom prst="rect">
                      <a:avLst/>
                    </a:prstGeom>
                    <a:noFill/>
                    <a:ln>
                      <a:noFill/>
                    </a:ln>
                  </pic:spPr>
                </pic:pic>
              </a:graphicData>
            </a:graphic>
          </wp:inline>
        </w:drawing>
      </w:r>
    </w:p>
    <w:p w:rsidR="00624D0D" w:rsidRDefault="00624D0D">
      <w:r>
        <w:br w:type="page"/>
      </w:r>
    </w:p>
    <w:p w:rsidR="001363AC" w:rsidRDefault="001363AC" w:rsidP="001363AC">
      <w:r w:rsidRPr="001363AC">
        <w:rPr>
          <w:highlight w:val="yellow"/>
        </w:rPr>
        <w:lastRenderedPageBreak/>
        <w:t>Kleinnijenhuis, J., Schultz, F., Oegema, D., &amp; Van Atteveldt, W. (2013). Financial news and market panics in the age of high-frequency sentiment trading algorithms. Journalism, 14(2), 271-291.</w:t>
      </w:r>
    </w:p>
    <w:p w:rsidR="001363AC" w:rsidRDefault="001363AC" w:rsidP="001363AC">
      <w:r>
        <w:t>Whether financial news may contribute to market panics is not an innocent question. A positive answer is easily used as a legitimation to limit the freedom of financial journalists. Long-term effects of news are moreover inconsistent with the Efficient Market Hypothesis (EMH), which maintains that new information gives immediately rise to a new equilibrium. The EMH is under discussion, however, as a result of the transformation of financial markets and of financial journalism due to new economic thoughts, new communication theories, high-frequency trading and high-frequency sentiment analysis. As a case study of a market panic we show the impact of US news, UK news and Dutch news on three Dutch banks during the financial crisis of 2007–9. To avoid market panics, financial journalists may strive for greater transparency, not only on asset prices and corporate philosophies, but also on network dependencies in the worldwide financial markets.</w:t>
      </w:r>
    </w:p>
    <w:p w:rsidR="001363AC" w:rsidRDefault="001363AC" w:rsidP="001363AC">
      <w:r w:rsidRPr="001363AC">
        <w:t>For the analysis of daily shifts in financial news of financials rated on the Amsterdam stock market, three financial companies were selected: Fortis Bank, ING Bank and AEGON Insurances. ING and AEGON both had fairly strong interests in the USA. ING held a portfolio of 27 billion euro alt A-mortgages. AEGON and especially ING featured often in US and UK newspapers in the context of the credit crunch because of their assets in the USA. There was a risk that Fortis would run into problems because it still had to pay for a part of the Dutch bank ABN AMRO, which it took over in May 2005. Interests in the USA were less strong.</w:t>
      </w:r>
    </w:p>
    <w:p w:rsidR="00624D0D" w:rsidRDefault="001363AC">
      <w:r w:rsidRPr="001363AC">
        <w:t>To assess the impact of US and UK news on the fate of the three Dutch financial firms, the news from The New York Times, The International Herald Tribune, and The Financial Times was scanned for labels such as ‘credit crisis’, ‘credit crunch’ and ‘financial crisis’. We looked separately at the even more severe news about ‘bankruptcy’ in articles in which one or more of the three Dutch financial giants featured.</w:t>
      </w:r>
    </w:p>
    <w:p w:rsidR="001363AC" w:rsidRDefault="001363AC">
      <w:r w:rsidRPr="001363AC">
        <w:t>Explaining short-term shifts in financial news and in financial share prices. On the basis of preliminary tests5 a basic model is presented in Table 2 in which the increase or decrease of stock market value at the close of the Amsterdam EXchange market (AEX) on a given day is dependent on the increase or decrease of the amount of news that associates a bank with the financial crisis on the same day (note that Dutch newspapers are printed before the stock market closes) and on the day before.</w:t>
      </w:r>
    </w:p>
    <w:p w:rsidR="001363AC" w:rsidRDefault="001363AC">
      <w:r w:rsidRPr="001363AC">
        <w:rPr>
          <w:noProof/>
          <w:lang w:eastAsia="en-IE"/>
        </w:rPr>
        <w:lastRenderedPageBreak/>
        <w:drawing>
          <wp:inline distT="0" distB="0" distL="0" distR="0">
            <wp:extent cx="4788285" cy="3201702"/>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799573" cy="3209250"/>
                    </a:xfrm>
                    <a:prstGeom prst="rect">
                      <a:avLst/>
                    </a:prstGeom>
                    <a:noFill/>
                    <a:ln>
                      <a:noFill/>
                    </a:ln>
                  </pic:spPr>
                </pic:pic>
              </a:graphicData>
            </a:graphic>
          </wp:inline>
        </w:drawing>
      </w:r>
    </w:p>
    <w:p w:rsidR="001363AC" w:rsidRDefault="001363AC"/>
    <w:p w:rsidR="001363AC" w:rsidRDefault="001363AC">
      <w:r w:rsidRPr="001363AC">
        <w:rPr>
          <w:noProof/>
          <w:lang w:eastAsia="en-IE"/>
        </w:rPr>
        <w:drawing>
          <wp:inline distT="0" distB="0" distL="0" distR="0">
            <wp:extent cx="5731510" cy="2619328"/>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1510" cy="2619328"/>
                    </a:xfrm>
                    <a:prstGeom prst="rect">
                      <a:avLst/>
                    </a:prstGeom>
                    <a:noFill/>
                    <a:ln>
                      <a:noFill/>
                    </a:ln>
                  </pic:spPr>
                </pic:pic>
              </a:graphicData>
            </a:graphic>
          </wp:inline>
        </w:drawing>
      </w:r>
    </w:p>
    <w:p w:rsidR="001363AC" w:rsidRDefault="001363AC">
      <w:r>
        <w:t>Pp 288</w:t>
      </w:r>
    </w:p>
    <w:p w:rsidR="00443EAA" w:rsidRDefault="00443EAA">
      <w:pPr>
        <w:rPr>
          <w:noProof/>
          <w:lang w:eastAsia="en-IE"/>
        </w:rPr>
      </w:pPr>
    </w:p>
    <w:p w:rsidR="001363AC" w:rsidRDefault="001363AC">
      <w:r w:rsidRPr="001363AC">
        <w:rPr>
          <w:noProof/>
          <w:lang w:eastAsia="en-IE"/>
        </w:rPr>
        <w:drawing>
          <wp:inline distT="0" distB="0" distL="0" distR="0">
            <wp:extent cx="5731510" cy="1332351"/>
            <wp:effectExtent l="0" t="0" r="2540"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1510" cy="1332351"/>
                    </a:xfrm>
                    <a:prstGeom prst="rect">
                      <a:avLst/>
                    </a:prstGeom>
                    <a:noFill/>
                    <a:ln>
                      <a:noFill/>
                    </a:ln>
                  </pic:spPr>
                </pic:pic>
              </a:graphicData>
            </a:graphic>
          </wp:inline>
        </w:drawing>
      </w:r>
    </w:p>
    <w:p w:rsidR="00443EAA" w:rsidRDefault="00443EAA">
      <w:r>
        <w:br w:type="page"/>
      </w:r>
    </w:p>
    <w:p w:rsidR="00443EAA" w:rsidRDefault="00443EAA" w:rsidP="00443EAA">
      <w:pPr>
        <w:rPr>
          <w:rFonts w:ascii="NewBaskerville-Roman" w:hAnsi="NewBaskerville-Roman" w:cs="NewBaskerville-Roman"/>
          <w:sz w:val="20"/>
          <w:szCs w:val="20"/>
        </w:rPr>
      </w:pPr>
      <w:r>
        <w:rPr>
          <w:rFonts w:ascii="NewBaskerville-Roman" w:hAnsi="NewBaskerville-Roman" w:cs="NewBaskerville-Roman"/>
          <w:sz w:val="20"/>
          <w:szCs w:val="20"/>
        </w:rPr>
        <w:lastRenderedPageBreak/>
        <w:fldChar w:fldCharType="begin"/>
      </w:r>
      <w:r>
        <w:rPr>
          <w:rFonts w:ascii="NewBaskerville-Roman" w:hAnsi="NewBaskerville-Roman" w:cs="NewBaskerville-Roman"/>
          <w:sz w:val="20"/>
          <w:szCs w:val="20"/>
        </w:rPr>
        <w:instrText xml:space="preserve"> ADDIN EN.CITE &lt;EndNote&gt;&lt;Cite&gt;&lt;Author&gt;Loughran&lt;/Author&gt;&lt;Year&gt;2016&lt;/Year&gt;&lt;RecNum&gt;1792&lt;/RecNum&gt;&lt;DisplayText&gt;(Loughran &amp;amp; McDonald, 2016)&lt;/DisplayText&gt;&lt;record&gt;&lt;rec-number&gt;1792&lt;/rec-number&gt;&lt;foreign-keys&gt;&lt;key app="EN" db-id="rvvd5eevadrpawezf59xdew70wa0vvsvrv02" timestamp="1499194977"&gt;1792&lt;/key&gt;&lt;/foreign-keys&gt;&lt;ref-type name="Journal Article"&gt;17&lt;/ref-type&gt;&lt;contributors&gt;&lt;authors&gt;&lt;author&gt;Loughran, Tim&lt;/author&gt;&lt;author&gt;McDonald, Bill&lt;/author&gt;&lt;/authors&gt;&lt;/contributors&gt;&lt;titles&gt;&lt;title&gt;Textual analysis in accounting and finance: A survey&lt;/title&gt;&lt;secondary-title&gt;Journal of Accounting Research&lt;/secondary-title&gt;&lt;/titles&gt;&lt;periodical&gt;&lt;full-title&gt;Journal of Accounting Research&lt;/full-title&gt;&lt;/periodical&gt;&lt;pages&gt;1187-1230&lt;/pages&gt;&lt;volume&gt;54&lt;/volume&gt;&lt;number&gt;4&lt;/number&gt;&lt;dates&gt;&lt;year&gt;2016&lt;/year&gt;&lt;/dates&gt;&lt;isbn&gt;1475-679X&lt;/isbn&gt;&lt;urls&gt;&lt;/urls&gt;&lt;/record&gt;&lt;/Cite&gt;&lt;/EndNote&gt;</w:instrText>
      </w:r>
      <w:r>
        <w:rPr>
          <w:rFonts w:ascii="NewBaskerville-Roman" w:hAnsi="NewBaskerville-Roman" w:cs="NewBaskerville-Roman"/>
          <w:sz w:val="20"/>
          <w:szCs w:val="20"/>
        </w:rPr>
        <w:fldChar w:fldCharType="separate"/>
      </w:r>
      <w:r>
        <w:rPr>
          <w:rFonts w:ascii="NewBaskerville-Roman" w:hAnsi="NewBaskerville-Roman" w:cs="NewBaskerville-Roman"/>
          <w:noProof/>
          <w:sz w:val="20"/>
          <w:szCs w:val="20"/>
        </w:rPr>
        <w:t>(Loughran &amp; McDonald, 2016)</w:t>
      </w:r>
      <w:r>
        <w:rPr>
          <w:rFonts w:ascii="NewBaskerville-Roman" w:hAnsi="NewBaskerville-Roman" w:cs="NewBaskerville-Roman"/>
          <w:sz w:val="20"/>
          <w:szCs w:val="20"/>
        </w:rPr>
        <w:fldChar w:fldCharType="end"/>
      </w:r>
    </w:p>
    <w:p w:rsidR="00443EAA" w:rsidRDefault="00443EAA" w:rsidP="00443EAA">
      <w:r>
        <w:rPr>
          <w:rFonts w:ascii="NewBaskerville-Roman" w:hAnsi="NewBaskerville-Roman" w:cs="NewBaskerville-Roman"/>
          <w:sz w:val="20"/>
          <w:szCs w:val="20"/>
        </w:rPr>
        <w:t>Can we tease out sentiment from mandated company disclosures and</w:t>
      </w:r>
      <w:r>
        <w:rPr>
          <w:rFonts w:ascii="NewBaskerville-Roman" w:hAnsi="NewBaskerville-Roman" w:cs="NewBaskerville-Roman"/>
          <w:sz w:val="20"/>
          <w:szCs w:val="20"/>
        </w:rPr>
        <w:t xml:space="preserve"> </w:t>
      </w:r>
      <w:r>
        <w:rPr>
          <w:rFonts w:ascii="NewBaskerville-Roman" w:hAnsi="NewBaskerville-Roman" w:cs="NewBaskerville-Roman"/>
          <w:sz w:val="20"/>
          <w:szCs w:val="20"/>
        </w:rPr>
        <w:t>contextualize quantitative data in ways that might predict future valuation</w:t>
      </w:r>
      <w:r>
        <w:rPr>
          <w:rFonts w:ascii="NewBaskerville-Roman" w:hAnsi="NewBaskerville-Roman" w:cs="NewBaskerville-Roman"/>
          <w:sz w:val="20"/>
          <w:szCs w:val="20"/>
        </w:rPr>
        <w:t xml:space="preserve"> </w:t>
      </w:r>
      <w:r>
        <w:rPr>
          <w:rFonts w:ascii="NewBaskerville-Roman" w:hAnsi="NewBaskerville-Roman" w:cs="NewBaskerville-Roman"/>
          <w:sz w:val="20"/>
          <w:szCs w:val="20"/>
        </w:rPr>
        <w:t>components? Can we computationally read news articles and trade before</w:t>
      </w:r>
      <w:r>
        <w:rPr>
          <w:rFonts w:ascii="NewBaskerville-Roman" w:hAnsi="NewBaskerville-Roman" w:cs="NewBaskerville-Roman"/>
          <w:sz w:val="20"/>
          <w:szCs w:val="20"/>
        </w:rPr>
        <w:t xml:space="preserve"> </w:t>
      </w:r>
      <w:r>
        <w:rPr>
          <w:rFonts w:ascii="NewBaskerville-Roman" w:hAnsi="NewBaskerville-Roman" w:cs="NewBaskerville-Roman"/>
          <w:sz w:val="20"/>
          <w:szCs w:val="20"/>
        </w:rPr>
        <w:t>humans can read and assimilate the information? If Twitter’s tweets provide</w:t>
      </w:r>
      <w:r>
        <w:rPr>
          <w:rFonts w:ascii="NewBaskerville-Roman" w:hAnsi="NewBaskerville-Roman" w:cs="NewBaskerville-Roman"/>
          <w:sz w:val="20"/>
          <w:szCs w:val="20"/>
        </w:rPr>
        <w:t xml:space="preserve"> </w:t>
      </w:r>
      <w:r>
        <w:rPr>
          <w:rFonts w:ascii="NewBaskerville-Roman" w:hAnsi="NewBaskerville-Roman" w:cs="NewBaskerville-Roman"/>
          <w:sz w:val="20"/>
          <w:szCs w:val="20"/>
        </w:rPr>
        <w:t>the pulse of information, can we monitor these messages in real time</w:t>
      </w:r>
      <w:r>
        <w:rPr>
          <w:rFonts w:ascii="NewBaskerville-Roman" w:hAnsi="NewBaskerville-Roman" w:cs="NewBaskerville-Roman"/>
          <w:sz w:val="20"/>
          <w:szCs w:val="20"/>
        </w:rPr>
        <w:t xml:space="preserve"> </w:t>
      </w:r>
      <w:r>
        <w:rPr>
          <w:rFonts w:ascii="NewBaskerville-Roman" w:hAnsi="NewBaskerville-Roman" w:cs="NewBaskerville-Roman"/>
          <w:sz w:val="20"/>
          <w:szCs w:val="20"/>
        </w:rPr>
        <w:t>to gain an informational edge? Do textual artifacts provide an additional attribute</w:t>
      </w:r>
      <w:r>
        <w:rPr>
          <w:rFonts w:ascii="NewBaskerville-Roman" w:hAnsi="NewBaskerville-Roman" w:cs="NewBaskerville-Roman"/>
          <w:sz w:val="20"/>
          <w:szCs w:val="20"/>
        </w:rPr>
        <w:t xml:space="preserve"> </w:t>
      </w:r>
      <w:r>
        <w:rPr>
          <w:rFonts w:ascii="NewBaskerville-Roman" w:hAnsi="NewBaskerville-Roman" w:cs="NewBaskerville-Roman"/>
          <w:sz w:val="20"/>
          <w:szCs w:val="20"/>
        </w:rPr>
        <w:t>that predicts bankruptcies? Are there subtle cues in managements’</w:t>
      </w:r>
      <w:r>
        <w:rPr>
          <w:rFonts w:ascii="NewBaskerville-Roman" w:hAnsi="NewBaskerville-Roman" w:cs="NewBaskerville-Roman"/>
          <w:sz w:val="20"/>
          <w:szCs w:val="20"/>
        </w:rPr>
        <w:t xml:space="preserve"> </w:t>
      </w:r>
      <w:r>
        <w:rPr>
          <w:rFonts w:ascii="NewBaskerville-Roman" w:hAnsi="NewBaskerville-Roman" w:cs="NewBaskerville-Roman"/>
          <w:sz w:val="20"/>
          <w:szCs w:val="20"/>
        </w:rPr>
        <w:t>earnings conference calls that computers can discern better than analysts?</w:t>
      </w:r>
      <w:r>
        <w:rPr>
          <w:rFonts w:ascii="NewBaskerville-Roman" w:hAnsi="NewBaskerville-Roman" w:cs="NewBaskerville-Roman"/>
          <w:sz w:val="20"/>
          <w:szCs w:val="20"/>
        </w:rPr>
        <w:t xml:space="preserve"> </w:t>
      </w:r>
      <w:r>
        <w:rPr>
          <w:rFonts w:ascii="NewBaskerville-Roman" w:hAnsi="NewBaskerville-Roman" w:cs="NewBaskerville-Roman"/>
          <w:sz w:val="20"/>
          <w:szCs w:val="20"/>
        </w:rPr>
        <w:t>More broadly, can we examine textual artifacts to measure the quantity and</w:t>
      </w:r>
      <w:r>
        <w:rPr>
          <w:rFonts w:ascii="NewBaskerville-Roman" w:hAnsi="NewBaskerville-Roman" w:cs="NewBaskerville-Roman"/>
          <w:sz w:val="20"/>
          <w:szCs w:val="20"/>
        </w:rPr>
        <w:t xml:space="preserve"> </w:t>
      </w:r>
      <w:r>
        <w:rPr>
          <w:rFonts w:ascii="NewBaskerville-Roman" w:hAnsi="NewBaskerville-Roman" w:cs="NewBaskerville-Roman"/>
          <w:sz w:val="20"/>
          <w:szCs w:val="20"/>
        </w:rPr>
        <w:t>quality of information in a collection of text, including both the intended</w:t>
      </w:r>
      <w:r>
        <w:rPr>
          <w:rFonts w:ascii="NewBaskerville-Roman" w:hAnsi="NewBaskerville-Roman" w:cs="NewBaskerville-Roman"/>
          <w:sz w:val="20"/>
          <w:szCs w:val="20"/>
        </w:rPr>
        <w:t xml:space="preserve"> </w:t>
      </w:r>
      <w:r>
        <w:rPr>
          <w:rFonts w:ascii="NewBaskerville-Roman" w:hAnsi="NewBaskerville-Roman" w:cs="NewBaskerville-Roman"/>
          <w:sz w:val="20"/>
          <w:szCs w:val="20"/>
        </w:rPr>
        <w:t>message and, importantly, any unintended revelations? These are all interesting</w:t>
      </w:r>
      <w:r>
        <w:rPr>
          <w:rFonts w:ascii="NewBaskerville-Roman" w:hAnsi="NewBaskerville-Roman" w:cs="NewBaskerville-Roman"/>
          <w:sz w:val="20"/>
          <w:szCs w:val="20"/>
        </w:rPr>
        <w:t xml:space="preserve"> </w:t>
      </w:r>
      <w:r>
        <w:rPr>
          <w:rFonts w:ascii="NewBaskerville-Roman" w:hAnsi="NewBaskerville-Roman" w:cs="NewBaskerville-Roman"/>
          <w:sz w:val="20"/>
          <w:szCs w:val="20"/>
        </w:rPr>
        <w:t>questions potentially answered by the technology of textual analysis.</w:t>
      </w:r>
    </w:p>
    <w:p w:rsidR="00443EAA" w:rsidRDefault="00443EAA" w:rsidP="00443EAA">
      <w:r>
        <w:rPr>
          <w:rFonts w:ascii="NewBaskerville-Roman" w:hAnsi="NewBaskerville-Roman" w:cs="NewBaskerville-Roman"/>
          <w:sz w:val="20"/>
          <w:szCs w:val="20"/>
        </w:rPr>
        <w:t>Textual analysis is an emerging area in accounting and finance and, as</w:t>
      </w:r>
      <w:r>
        <w:rPr>
          <w:rFonts w:ascii="NewBaskerville-Roman" w:hAnsi="NewBaskerville-Roman" w:cs="NewBaskerville-Roman"/>
          <w:sz w:val="20"/>
          <w:szCs w:val="20"/>
        </w:rPr>
        <w:t xml:space="preserve"> </w:t>
      </w:r>
      <w:r>
        <w:rPr>
          <w:rFonts w:ascii="NewBaskerville-Roman" w:hAnsi="NewBaskerville-Roman" w:cs="NewBaskerville-Roman"/>
          <w:sz w:val="20"/>
          <w:szCs w:val="20"/>
        </w:rPr>
        <w:t>a result, the corresponding taxonomies are still somewhat imprecise. Textual</w:t>
      </w:r>
      <w:r>
        <w:rPr>
          <w:rFonts w:ascii="NewBaskerville-Roman" w:hAnsi="NewBaskerville-Roman" w:cs="NewBaskerville-Roman"/>
          <w:sz w:val="20"/>
          <w:szCs w:val="20"/>
        </w:rPr>
        <w:t xml:space="preserve"> </w:t>
      </w:r>
      <w:r>
        <w:rPr>
          <w:rFonts w:ascii="NewBaskerville-Roman" w:hAnsi="NewBaskerville-Roman" w:cs="NewBaskerville-Roman"/>
          <w:sz w:val="20"/>
          <w:szCs w:val="20"/>
        </w:rPr>
        <w:t>analysis can be considered as a subset of what is sometimes labeled</w:t>
      </w:r>
      <w:r>
        <w:rPr>
          <w:rFonts w:ascii="NewBaskerville-Roman" w:hAnsi="NewBaskerville-Roman" w:cs="NewBaskerville-Roman"/>
          <w:sz w:val="20"/>
          <w:szCs w:val="20"/>
        </w:rPr>
        <w:t xml:space="preserve"> </w:t>
      </w:r>
      <w:r>
        <w:rPr>
          <w:rFonts w:ascii="NewBaskerville-Roman" w:hAnsi="NewBaskerville-Roman" w:cs="NewBaskerville-Roman"/>
          <w:sz w:val="20"/>
          <w:szCs w:val="20"/>
        </w:rPr>
        <w:t>qualitative analysis, with textual analysis most frequently falling into the</w:t>
      </w:r>
      <w:r>
        <w:rPr>
          <w:rFonts w:ascii="NewBaskerville-Roman" w:hAnsi="NewBaskerville-Roman" w:cs="NewBaskerville-Roman"/>
          <w:sz w:val="20"/>
          <w:szCs w:val="20"/>
        </w:rPr>
        <w:t xml:space="preserve"> </w:t>
      </w:r>
      <w:r>
        <w:rPr>
          <w:rFonts w:ascii="NewBaskerville-Roman" w:hAnsi="NewBaskerville-Roman" w:cs="NewBaskerville-Roman"/>
          <w:sz w:val="20"/>
          <w:szCs w:val="20"/>
        </w:rPr>
        <w:t>categories of either targeted phrases, sentiment analysis, topic modeling,</w:t>
      </w:r>
      <w:r>
        <w:rPr>
          <w:rFonts w:ascii="NewBaskerville-Roman" w:hAnsi="NewBaskerville-Roman" w:cs="NewBaskerville-Roman"/>
          <w:sz w:val="20"/>
          <w:szCs w:val="20"/>
        </w:rPr>
        <w:t xml:space="preserve"> </w:t>
      </w:r>
      <w:r>
        <w:rPr>
          <w:rFonts w:ascii="NewBaskerville-Roman" w:hAnsi="NewBaskerville-Roman" w:cs="NewBaskerville-Roman"/>
          <w:sz w:val="20"/>
          <w:szCs w:val="20"/>
        </w:rPr>
        <w:t>or measures of document similarity. Readability is another aspect of textual</w:t>
      </w:r>
      <w:r>
        <w:rPr>
          <w:rFonts w:ascii="NewBaskerville-Roman" w:hAnsi="NewBaskerville-Roman" w:cs="NewBaskerville-Roman"/>
          <w:sz w:val="20"/>
          <w:szCs w:val="20"/>
        </w:rPr>
        <w:t xml:space="preserve"> </w:t>
      </w:r>
      <w:r>
        <w:rPr>
          <w:rFonts w:ascii="NewBaskerville-Roman" w:hAnsi="NewBaskerville-Roman" w:cs="NewBaskerville-Roman"/>
          <w:sz w:val="20"/>
          <w:szCs w:val="20"/>
        </w:rPr>
        <w:t>analysis, which is differentiated from some of the prior methods in that it</w:t>
      </w:r>
      <w:r>
        <w:rPr>
          <w:rFonts w:ascii="NewBaskerville-Roman" w:hAnsi="NewBaskerville-Roman" w:cs="NewBaskerville-Roman"/>
          <w:sz w:val="20"/>
          <w:szCs w:val="20"/>
        </w:rPr>
        <w:t xml:space="preserve"> </w:t>
      </w:r>
      <w:r>
        <w:rPr>
          <w:rFonts w:ascii="NewBaskerville-Roman" w:hAnsi="NewBaskerville-Roman" w:cs="NewBaskerville-Roman"/>
          <w:sz w:val="20"/>
          <w:szCs w:val="20"/>
        </w:rPr>
        <w:t>attempts to measure the ability of the reader to decipher the intended message,</w:t>
      </w:r>
      <w:r>
        <w:rPr>
          <w:rFonts w:ascii="NewBaskerville-Roman" w:hAnsi="NewBaskerville-Roman" w:cs="NewBaskerville-Roman"/>
          <w:sz w:val="20"/>
          <w:szCs w:val="20"/>
        </w:rPr>
        <w:t xml:space="preserve"> </w:t>
      </w:r>
      <w:r>
        <w:rPr>
          <w:rFonts w:ascii="NewBaskerville-Roman" w:hAnsi="NewBaskerville-Roman" w:cs="NewBaskerville-Roman"/>
          <w:sz w:val="20"/>
          <w:szCs w:val="20"/>
        </w:rPr>
        <w:t>whereas the other methods typically focus on computationally extracting</w:t>
      </w:r>
      <w:r>
        <w:rPr>
          <w:rFonts w:ascii="NewBaskerville-Roman" w:hAnsi="NewBaskerville-Roman" w:cs="NewBaskerville-Roman"/>
          <w:sz w:val="20"/>
          <w:szCs w:val="20"/>
        </w:rPr>
        <w:t xml:space="preserve"> </w:t>
      </w:r>
      <w:r>
        <w:rPr>
          <w:rFonts w:ascii="NewBaskerville-Roman" w:hAnsi="NewBaskerville-Roman" w:cs="NewBaskerville-Roman"/>
          <w:sz w:val="20"/>
          <w:szCs w:val="20"/>
        </w:rPr>
        <w:t>meaning from a collection of text. Other examples of the more general</w:t>
      </w:r>
      <w:r>
        <w:rPr>
          <w:rFonts w:ascii="NewBaskerville-Roman" w:hAnsi="NewBaskerville-Roman" w:cs="NewBaskerville-Roman"/>
          <w:sz w:val="20"/>
          <w:szCs w:val="20"/>
        </w:rPr>
        <w:t xml:space="preserve"> </w:t>
      </w:r>
      <w:r>
        <w:rPr>
          <w:rFonts w:ascii="NewBaskerville-Roman" w:hAnsi="NewBaskerville-Roman" w:cs="NewBaskerville-Roman"/>
          <w:sz w:val="20"/>
          <w:szCs w:val="20"/>
        </w:rPr>
        <w:t>topic of qualitative analysis would include Coval and Shumway [2001], who</w:t>
      </w:r>
      <w:r>
        <w:rPr>
          <w:rFonts w:ascii="NewBaskerville-Roman" w:hAnsi="NewBaskerville-Roman" w:cs="NewBaskerville-Roman"/>
          <w:sz w:val="20"/>
          <w:szCs w:val="20"/>
        </w:rPr>
        <w:t xml:space="preserve"> </w:t>
      </w:r>
      <w:r>
        <w:rPr>
          <w:rFonts w:ascii="NewBaskerville-Roman" w:hAnsi="NewBaskerville-Roman" w:cs="NewBaskerville-Roman"/>
          <w:sz w:val="20"/>
          <w:szCs w:val="20"/>
        </w:rPr>
        <w:t>consider the information conveyed by noise levels in the Treasury Bond</w:t>
      </w:r>
      <w:r>
        <w:rPr>
          <w:rFonts w:ascii="NewBaskerville-Roman" w:hAnsi="NewBaskerville-Roman" w:cs="NewBaskerville-Roman"/>
          <w:sz w:val="20"/>
          <w:szCs w:val="20"/>
        </w:rPr>
        <w:t xml:space="preserve"> </w:t>
      </w:r>
      <w:r>
        <w:rPr>
          <w:rFonts w:ascii="NewBaskerville-Roman" w:hAnsi="NewBaskerville-Roman" w:cs="NewBaskerville-Roman"/>
          <w:sz w:val="20"/>
          <w:szCs w:val="20"/>
        </w:rPr>
        <w:t>Futures trading pit at the Chicago Board of Trade, or Mayew and Venkatachalam</w:t>
      </w:r>
      <w:r>
        <w:rPr>
          <w:rFonts w:ascii="NewBaskerville-Roman" w:hAnsi="NewBaskerville-Roman" w:cs="NewBaskerville-Roman"/>
          <w:sz w:val="20"/>
          <w:szCs w:val="20"/>
        </w:rPr>
        <w:t xml:space="preserve"> </w:t>
      </w:r>
      <w:r>
        <w:rPr>
          <w:rFonts w:ascii="NewBaskerville-Roman" w:hAnsi="NewBaskerville-Roman" w:cs="NewBaskerville-Roman"/>
          <w:sz w:val="20"/>
          <w:szCs w:val="20"/>
        </w:rPr>
        <w:t>[2012], who examine the audio from earnings conference calls to</w:t>
      </w:r>
      <w:r>
        <w:rPr>
          <w:rFonts w:ascii="NewBaskerville-Roman" w:hAnsi="NewBaskerville-Roman" w:cs="NewBaskerville-Roman"/>
          <w:sz w:val="20"/>
          <w:szCs w:val="20"/>
        </w:rPr>
        <w:t xml:space="preserve"> </w:t>
      </w:r>
      <w:r>
        <w:rPr>
          <w:rFonts w:ascii="NewBaskerville-Roman" w:hAnsi="NewBaskerville-Roman" w:cs="NewBaskerville-Roman"/>
          <w:sz w:val="20"/>
          <w:szCs w:val="20"/>
        </w:rPr>
        <w:t>determine managerial affective states.</w:t>
      </w:r>
    </w:p>
    <w:p w:rsidR="00443EAA" w:rsidRDefault="00443EAA" w:rsidP="00443EAA">
      <w:r>
        <w:t>Pp 1196:</w:t>
      </w:r>
    </w:p>
    <w:p w:rsidR="00443EAA" w:rsidRDefault="00443EAA" w:rsidP="00443EAA">
      <w:pPr>
        <w:autoSpaceDE w:val="0"/>
        <w:autoSpaceDN w:val="0"/>
        <w:adjustRightInd w:val="0"/>
        <w:spacing w:after="0" w:line="240" w:lineRule="auto"/>
        <w:rPr>
          <w:rFonts w:ascii="NewBaskerville-Roman" w:hAnsi="NewBaskerville-Roman" w:cs="NewBaskerville-Roman"/>
          <w:sz w:val="20"/>
          <w:szCs w:val="20"/>
        </w:rPr>
      </w:pPr>
      <w:r>
        <w:rPr>
          <w:rFonts w:ascii="NewBaskerville-Roman" w:hAnsi="NewBaskerville-Roman" w:cs="NewBaskerville-Roman"/>
          <w:sz w:val="20"/>
          <w:szCs w:val="20"/>
        </w:rPr>
        <w:t>As a simple proxy for readability of annual reports, Loughran and Mc-</w:t>
      </w:r>
      <w:r>
        <w:rPr>
          <w:rFonts w:ascii="NewBaskerville-Roman" w:hAnsi="NewBaskerville-Roman" w:cs="NewBaskerville-Roman"/>
          <w:sz w:val="20"/>
          <w:szCs w:val="20"/>
        </w:rPr>
        <w:t xml:space="preserve"> </w:t>
      </w:r>
      <w:r>
        <w:rPr>
          <w:rFonts w:ascii="NewBaskerville-Roman" w:hAnsi="NewBaskerville-Roman" w:cs="NewBaskerville-Roman"/>
          <w:sz w:val="20"/>
          <w:szCs w:val="20"/>
        </w:rPr>
        <w:t>Donald [2014] suggest using the natural log of gross 10-K file size (complete</w:t>
      </w:r>
      <w:r>
        <w:rPr>
          <w:rFonts w:ascii="NewBaskerville-Roman" w:hAnsi="NewBaskerville-Roman" w:cs="NewBaskerville-Roman"/>
          <w:sz w:val="20"/>
          <w:szCs w:val="20"/>
        </w:rPr>
        <w:t xml:space="preserve"> </w:t>
      </w:r>
      <w:r>
        <w:rPr>
          <w:rFonts w:ascii="NewBaskerville-Roman" w:hAnsi="NewBaskerville-Roman" w:cs="NewBaskerville-Roman"/>
          <w:sz w:val="20"/>
          <w:szCs w:val="20"/>
        </w:rPr>
        <w:t>submission text file) available on the SEC’s EDGAR Web site. This</w:t>
      </w:r>
      <w:r>
        <w:rPr>
          <w:rFonts w:ascii="NewBaskerville-Roman" w:hAnsi="NewBaskerville-Roman" w:cs="NewBaskerville-Roman"/>
          <w:sz w:val="20"/>
          <w:szCs w:val="20"/>
        </w:rPr>
        <w:t xml:space="preserve"> </w:t>
      </w:r>
      <w:r>
        <w:rPr>
          <w:rFonts w:ascii="NewBaskerville-Roman" w:hAnsi="NewBaskerville-Roman" w:cs="NewBaskerville-Roman"/>
          <w:sz w:val="20"/>
          <w:szCs w:val="20"/>
        </w:rPr>
        <w:t>measure is easy to obtain, does not require problematic parsing of 10-Ks,</w:t>
      </w:r>
      <w:r>
        <w:rPr>
          <w:rFonts w:ascii="NewBaskerville-Roman" w:hAnsi="NewBaskerville-Roman" w:cs="NewBaskerville-Roman"/>
          <w:sz w:val="20"/>
          <w:szCs w:val="20"/>
        </w:rPr>
        <w:t xml:space="preserve"> </w:t>
      </w:r>
      <w:r>
        <w:rPr>
          <w:rFonts w:ascii="NewBaskerville-Roman" w:hAnsi="NewBaskerville-Roman" w:cs="NewBaskerville-Roman"/>
          <w:sz w:val="20"/>
          <w:szCs w:val="20"/>
        </w:rPr>
        <w:t>and allows for straightforward replication. They define readability as the</w:t>
      </w:r>
      <w:r>
        <w:rPr>
          <w:rFonts w:ascii="NewBaskerville-Roman" w:hAnsi="NewBaskerville-Roman" w:cs="NewBaskerville-Roman"/>
          <w:sz w:val="20"/>
          <w:szCs w:val="20"/>
        </w:rPr>
        <w:t xml:space="preserve"> </w:t>
      </w:r>
      <w:r>
        <w:rPr>
          <w:rFonts w:ascii="NewBaskerville-Roman" w:hAnsi="NewBaskerville-Roman" w:cs="NewBaskerville-Roman"/>
          <w:sz w:val="20"/>
          <w:szCs w:val="20"/>
        </w:rPr>
        <w:t>ability of investors and analysts to integrate valuation relevant information</w:t>
      </w:r>
      <w:r>
        <w:rPr>
          <w:rFonts w:ascii="NewBaskerville-Roman" w:hAnsi="NewBaskerville-Roman" w:cs="NewBaskerville-Roman"/>
          <w:sz w:val="20"/>
          <w:szCs w:val="20"/>
        </w:rPr>
        <w:t xml:space="preserve"> </w:t>
      </w:r>
      <w:r>
        <w:rPr>
          <w:rFonts w:ascii="NewBaskerville-Roman" w:hAnsi="NewBaskerville-Roman" w:cs="NewBaskerville-Roman"/>
          <w:sz w:val="20"/>
          <w:szCs w:val="20"/>
        </w:rPr>
        <w:t>from the business document into stock prices. Loughran and McDonald</w:t>
      </w:r>
      <w:r>
        <w:rPr>
          <w:rFonts w:ascii="NewBaskerville-Roman" w:hAnsi="NewBaskerville-Roman" w:cs="NewBaskerville-Roman"/>
          <w:sz w:val="20"/>
          <w:szCs w:val="20"/>
        </w:rPr>
        <w:t xml:space="preserve"> </w:t>
      </w:r>
      <w:r>
        <w:rPr>
          <w:rFonts w:ascii="NewBaskerville-Roman" w:hAnsi="NewBaskerville-Roman" w:cs="NewBaskerville-Roman"/>
          <w:sz w:val="20"/>
          <w:szCs w:val="20"/>
        </w:rPr>
        <w:t>[2014] find that firms with bigger 10-K file sizes are significantly linked with</w:t>
      </w:r>
      <w:r>
        <w:rPr>
          <w:rFonts w:ascii="NewBaskerville-Roman" w:hAnsi="NewBaskerville-Roman" w:cs="NewBaskerville-Roman"/>
          <w:sz w:val="20"/>
          <w:szCs w:val="20"/>
        </w:rPr>
        <w:t xml:space="preserve"> </w:t>
      </w:r>
      <w:r>
        <w:rPr>
          <w:rFonts w:ascii="NewBaskerville-Roman" w:hAnsi="NewBaskerville-Roman" w:cs="NewBaskerville-Roman"/>
          <w:sz w:val="20"/>
          <w:szCs w:val="20"/>
        </w:rPr>
        <w:t>larger subsequent stock return volatility, analyst dispersion, and absolute</w:t>
      </w:r>
      <w:r>
        <w:rPr>
          <w:rFonts w:ascii="NewBaskerville-Roman" w:hAnsi="NewBaskerville-Roman" w:cs="NewBaskerville-Roman"/>
          <w:sz w:val="20"/>
          <w:szCs w:val="20"/>
        </w:rPr>
        <w:t xml:space="preserve"> </w:t>
      </w:r>
      <w:r>
        <w:rPr>
          <w:rFonts w:ascii="NewBaskerville-Roman" w:hAnsi="NewBaskerville-Roman" w:cs="NewBaskerville-Roman"/>
          <w:sz w:val="20"/>
          <w:szCs w:val="20"/>
        </w:rPr>
        <w:t>earnings surprises. As they note, this association may reflect the underlying</w:t>
      </w:r>
      <w:r>
        <w:rPr>
          <w:rFonts w:ascii="NewBaskerville-Roman" w:hAnsi="NewBaskerville-Roman" w:cs="NewBaskerville-Roman"/>
          <w:sz w:val="20"/>
          <w:szCs w:val="20"/>
        </w:rPr>
        <w:t xml:space="preserve"> </w:t>
      </w:r>
      <w:r>
        <w:rPr>
          <w:rFonts w:ascii="NewBaskerville-Roman" w:hAnsi="NewBaskerville-Roman" w:cs="NewBaskerville-Roman"/>
          <w:sz w:val="20"/>
          <w:szCs w:val="20"/>
        </w:rPr>
        <w:t>complexity of the firm’s business. That is, although file size might serve as</w:t>
      </w:r>
      <w:r>
        <w:rPr>
          <w:rFonts w:ascii="NewBaskerville-Roman" w:hAnsi="NewBaskerville-Roman" w:cs="NewBaskerville-Roman"/>
          <w:sz w:val="20"/>
          <w:szCs w:val="20"/>
        </w:rPr>
        <w:t xml:space="preserve"> </w:t>
      </w:r>
      <w:r>
        <w:rPr>
          <w:rFonts w:ascii="NewBaskerville-Roman" w:hAnsi="NewBaskerville-Roman" w:cs="NewBaskerville-Roman"/>
          <w:sz w:val="20"/>
          <w:szCs w:val="20"/>
        </w:rPr>
        <w:t>a proxy for readability, for a given firm it cannot completely separate the</w:t>
      </w:r>
      <w:r>
        <w:t xml:space="preserve"> </w:t>
      </w:r>
      <w:r>
        <w:rPr>
          <w:rFonts w:ascii="NewBaskerville-Roman" w:hAnsi="NewBaskerville-Roman" w:cs="NewBaskerville-Roman"/>
          <w:sz w:val="20"/>
          <w:szCs w:val="20"/>
        </w:rPr>
        <w:t>fundamental complexity of the firm’s busine</w:t>
      </w:r>
      <w:r>
        <w:rPr>
          <w:rFonts w:ascii="NewBaskerville-Roman" w:hAnsi="NewBaskerville-Roman" w:cs="NewBaskerville-Roman"/>
          <w:sz w:val="20"/>
          <w:szCs w:val="20"/>
        </w:rPr>
        <w:t xml:space="preserve">ss from the language complexity </w:t>
      </w:r>
      <w:r>
        <w:rPr>
          <w:rFonts w:ascii="NewBaskerville-Roman" w:hAnsi="NewBaskerville-Roman" w:cs="NewBaskerville-Roman"/>
          <w:sz w:val="20"/>
          <w:szCs w:val="20"/>
        </w:rPr>
        <w:t>of its annual report.</w:t>
      </w:r>
    </w:p>
    <w:p w:rsidR="00443EAA" w:rsidRDefault="00443EAA" w:rsidP="00443EAA">
      <w:pPr>
        <w:autoSpaceDE w:val="0"/>
        <w:autoSpaceDN w:val="0"/>
        <w:adjustRightInd w:val="0"/>
        <w:spacing w:after="0" w:line="240" w:lineRule="auto"/>
        <w:rPr>
          <w:rFonts w:ascii="NewBaskerville-Roman" w:hAnsi="NewBaskerville-Roman" w:cs="NewBaskerville-Roman"/>
          <w:sz w:val="20"/>
          <w:szCs w:val="20"/>
        </w:rPr>
      </w:pPr>
    </w:p>
    <w:p w:rsidR="00443EAA" w:rsidRDefault="00443EAA" w:rsidP="00443EAA">
      <w:pPr>
        <w:autoSpaceDE w:val="0"/>
        <w:autoSpaceDN w:val="0"/>
        <w:adjustRightInd w:val="0"/>
        <w:spacing w:after="0" w:line="240" w:lineRule="auto"/>
        <w:rPr>
          <w:rFonts w:ascii="NewBaskerville-Roman" w:hAnsi="NewBaskerville-Roman" w:cs="NewBaskerville-Roman"/>
          <w:sz w:val="20"/>
          <w:szCs w:val="20"/>
        </w:rPr>
      </w:pPr>
      <w:r>
        <w:rPr>
          <w:rFonts w:ascii="NewBaskerville-Roman" w:hAnsi="NewBaskerville-Roman" w:cs="NewBaskerville-Roman"/>
          <w:sz w:val="20"/>
          <w:szCs w:val="20"/>
        </w:rPr>
        <w:t>Pp1203</w:t>
      </w:r>
    </w:p>
    <w:p w:rsidR="00517782" w:rsidRDefault="00443EAA">
      <w:pPr>
        <w:rPr>
          <w:rFonts w:ascii="NewBaskerville-Roman" w:hAnsi="NewBaskerville-Roman" w:cs="NewBaskerville-Roman"/>
          <w:sz w:val="20"/>
          <w:szCs w:val="20"/>
        </w:rPr>
      </w:pPr>
      <w:r>
        <w:rPr>
          <w:rFonts w:ascii="NewBaskerville-Italic" w:hAnsi="NewBaskerville-Italic" w:cs="NewBaskerville-Italic"/>
          <w:i/>
          <w:iCs/>
          <w:sz w:val="20"/>
          <w:szCs w:val="20"/>
        </w:rPr>
        <w:t xml:space="preserve">3.2.4. Limitations of the Harvard and Diction Sentiment Word Lists. </w:t>
      </w:r>
      <w:r>
        <w:rPr>
          <w:rFonts w:ascii="NewBaskerville-Roman" w:hAnsi="NewBaskerville-Roman" w:cs="NewBaskerville-Roman"/>
          <w:sz w:val="20"/>
          <w:szCs w:val="20"/>
        </w:rPr>
        <w:t>Li</w:t>
      </w:r>
      <w:r w:rsidR="00517782">
        <w:rPr>
          <w:rFonts w:ascii="NewBaskerville-Roman" w:hAnsi="NewBaskerville-Roman" w:cs="NewBaskerville-Roman"/>
          <w:sz w:val="20"/>
          <w:szCs w:val="20"/>
        </w:rPr>
        <w:t xml:space="preserve"> </w:t>
      </w:r>
      <w:r>
        <w:rPr>
          <w:rFonts w:ascii="NewBaskerville-Roman" w:hAnsi="NewBaskerville-Roman" w:cs="NewBaskerville-Roman"/>
          <w:sz w:val="20"/>
          <w:szCs w:val="20"/>
        </w:rPr>
        <w:t>[2010b] and Loughran and McDonald [2011] criticize the use of Harvard</w:t>
      </w:r>
      <w:r w:rsidR="00517782">
        <w:rPr>
          <w:rFonts w:ascii="NewBaskerville-Roman" w:hAnsi="NewBaskerville-Roman" w:cs="NewBaskerville-Roman"/>
          <w:sz w:val="20"/>
          <w:szCs w:val="20"/>
        </w:rPr>
        <w:t xml:space="preserve"> </w:t>
      </w:r>
      <w:r>
        <w:rPr>
          <w:rFonts w:ascii="NewBaskerville-Roman" w:hAnsi="NewBaskerville-Roman" w:cs="NewBaskerville-Roman"/>
          <w:sz w:val="20"/>
          <w:szCs w:val="20"/>
        </w:rPr>
        <w:t>IV-4 and Diction lists to gauge managerial tone in corporate filings. For example,</w:t>
      </w:r>
      <w:r w:rsidR="00517782">
        <w:rPr>
          <w:rFonts w:ascii="NewBaskerville-Roman" w:hAnsi="NewBaskerville-Roman" w:cs="NewBaskerville-Roman"/>
          <w:sz w:val="20"/>
          <w:szCs w:val="20"/>
        </w:rPr>
        <w:t xml:space="preserve"> </w:t>
      </w:r>
      <w:r>
        <w:rPr>
          <w:rFonts w:ascii="NewBaskerville-Roman" w:hAnsi="NewBaskerville-Roman" w:cs="NewBaskerville-Roman"/>
          <w:sz w:val="20"/>
          <w:szCs w:val="20"/>
        </w:rPr>
        <w:t>Li [2010b] finds no positive relation between the tone of the MD&amp;A</w:t>
      </w:r>
      <w:r w:rsidR="00517782">
        <w:rPr>
          <w:rFonts w:ascii="NewBaskerville-Roman" w:hAnsi="NewBaskerville-Roman" w:cs="NewBaskerville-Roman"/>
          <w:sz w:val="20"/>
          <w:szCs w:val="20"/>
        </w:rPr>
        <w:t xml:space="preserve"> </w:t>
      </w:r>
      <w:r>
        <w:rPr>
          <w:rFonts w:ascii="NewBaskerville-Roman" w:hAnsi="NewBaskerville-Roman" w:cs="NewBaskerville-Roman"/>
          <w:sz w:val="20"/>
          <w:szCs w:val="20"/>
        </w:rPr>
        <w:t>section of the 10-K (i.e., annual report) using the GI and Diction dictionaries</w:t>
      </w:r>
      <w:r w:rsidR="00517782">
        <w:rPr>
          <w:rFonts w:ascii="NewBaskerville-Roman" w:hAnsi="NewBaskerville-Roman" w:cs="NewBaskerville-Roman"/>
          <w:sz w:val="20"/>
          <w:szCs w:val="20"/>
        </w:rPr>
        <w:t xml:space="preserve"> </w:t>
      </w:r>
      <w:r>
        <w:rPr>
          <w:rFonts w:ascii="NewBaskerville-Roman" w:hAnsi="NewBaskerville-Roman" w:cs="NewBaskerville-Roman"/>
          <w:sz w:val="20"/>
          <w:szCs w:val="20"/>
        </w:rPr>
        <w:t>and future performance. Separately, Loughran and McDonald [2011]</w:t>
      </w:r>
      <w:r w:rsidR="00517782">
        <w:rPr>
          <w:rFonts w:ascii="NewBaskerville-Roman" w:hAnsi="NewBaskerville-Roman" w:cs="NewBaskerville-Roman"/>
          <w:sz w:val="20"/>
          <w:szCs w:val="20"/>
        </w:rPr>
        <w:t xml:space="preserve"> </w:t>
      </w:r>
      <w:r>
        <w:rPr>
          <w:rFonts w:ascii="NewBaskerville-Roman" w:hAnsi="NewBaskerville-Roman" w:cs="NewBaskerville-Roman"/>
          <w:sz w:val="20"/>
          <w:szCs w:val="20"/>
        </w:rPr>
        <w:t>report that almost 75% of the Harvard GI negative words do not have pessimistic</w:t>
      </w:r>
      <w:r w:rsidR="00517782">
        <w:rPr>
          <w:rFonts w:ascii="NewBaskerville-Roman" w:hAnsi="NewBaskerville-Roman" w:cs="NewBaskerville-Roman"/>
          <w:sz w:val="20"/>
          <w:szCs w:val="20"/>
        </w:rPr>
        <w:t xml:space="preserve"> </w:t>
      </w:r>
      <w:r>
        <w:rPr>
          <w:rFonts w:ascii="NewBaskerville-Roman" w:hAnsi="NewBaskerville-Roman" w:cs="NewBaskerville-Roman"/>
          <w:sz w:val="20"/>
          <w:szCs w:val="20"/>
        </w:rPr>
        <w:t>meaning when used in the context of financial documents.</w:t>
      </w:r>
      <w:r w:rsidR="00517782">
        <w:rPr>
          <w:rFonts w:ascii="NewBaskerville-Roman" w:hAnsi="NewBaskerville-Roman" w:cs="NewBaskerville-Roman"/>
          <w:sz w:val="20"/>
          <w:szCs w:val="20"/>
        </w:rPr>
        <w:t xml:space="preserve"> </w:t>
      </w:r>
    </w:p>
    <w:p w:rsidR="00517782" w:rsidRDefault="00517782" w:rsidP="00517782">
      <w:pPr>
        <w:autoSpaceDE w:val="0"/>
        <w:autoSpaceDN w:val="0"/>
        <w:adjustRightInd w:val="0"/>
        <w:spacing w:after="0" w:line="240" w:lineRule="auto"/>
        <w:rPr>
          <w:rFonts w:ascii="NewBaskerville-Roman" w:hAnsi="NewBaskerville-Roman" w:cs="NewBaskerville-Roman"/>
          <w:sz w:val="20"/>
          <w:szCs w:val="20"/>
        </w:rPr>
      </w:pPr>
      <w:r>
        <w:rPr>
          <w:rFonts w:ascii="NewBaskerville-Roman" w:hAnsi="NewBaskerville-Roman" w:cs="NewBaskerville-Roman"/>
          <w:sz w:val="20"/>
          <w:szCs w:val="20"/>
        </w:rPr>
        <w:t xml:space="preserve"> </w:t>
      </w:r>
      <w:r w:rsidR="00443EAA">
        <w:rPr>
          <w:rFonts w:ascii="NewBaskerville-Roman" w:hAnsi="NewBaskerville-Roman" w:cs="NewBaskerville-Roman"/>
          <w:sz w:val="20"/>
          <w:szCs w:val="20"/>
        </w:rPr>
        <w:t>Loughran and McDonald [2011] argue that Harvard IV-4 negative words</w:t>
      </w:r>
      <w:r>
        <w:rPr>
          <w:rFonts w:ascii="NewBaskerville-Roman" w:hAnsi="NewBaskerville-Roman" w:cs="NewBaskerville-Roman"/>
          <w:sz w:val="20"/>
          <w:szCs w:val="20"/>
        </w:rPr>
        <w:t xml:space="preserve"> </w:t>
      </w:r>
      <w:r w:rsidR="00443EAA">
        <w:rPr>
          <w:rFonts w:ascii="NewBaskerville-Roman" w:hAnsi="NewBaskerville-Roman" w:cs="NewBaskerville-Roman"/>
          <w:sz w:val="20"/>
          <w:szCs w:val="20"/>
        </w:rPr>
        <w:t xml:space="preserve">such as </w:t>
      </w:r>
      <w:r w:rsidR="00443EAA">
        <w:rPr>
          <w:rFonts w:ascii="NewBaskerville-Italic" w:hAnsi="NewBaskerville-Italic" w:cs="NewBaskerville-Italic"/>
          <w:i/>
          <w:iCs/>
          <w:sz w:val="20"/>
          <w:szCs w:val="20"/>
        </w:rPr>
        <w:t>tax</w:t>
      </w:r>
      <w:r w:rsidR="00443EAA">
        <w:rPr>
          <w:rFonts w:ascii="NewBaskerville-Roman" w:hAnsi="NewBaskerville-Roman" w:cs="NewBaskerville-Roman"/>
          <w:sz w:val="20"/>
          <w:szCs w:val="20"/>
        </w:rPr>
        <w:t xml:space="preserve">, </w:t>
      </w:r>
      <w:r w:rsidR="00443EAA">
        <w:rPr>
          <w:rFonts w:ascii="NewBaskerville-Italic" w:hAnsi="NewBaskerville-Italic" w:cs="NewBaskerville-Italic"/>
          <w:i/>
          <w:iCs/>
          <w:sz w:val="20"/>
          <w:szCs w:val="20"/>
        </w:rPr>
        <w:t>cost</w:t>
      </w:r>
      <w:r w:rsidR="00443EAA">
        <w:rPr>
          <w:rFonts w:ascii="NewBaskerville-Roman" w:hAnsi="NewBaskerville-Roman" w:cs="NewBaskerville-Roman"/>
          <w:sz w:val="20"/>
          <w:szCs w:val="20"/>
        </w:rPr>
        <w:t xml:space="preserve">, </w:t>
      </w:r>
      <w:r w:rsidR="00443EAA">
        <w:rPr>
          <w:rFonts w:ascii="NewBaskerville-Italic" w:hAnsi="NewBaskerville-Italic" w:cs="NewBaskerville-Italic"/>
          <w:i/>
          <w:iCs/>
          <w:sz w:val="20"/>
          <w:szCs w:val="20"/>
        </w:rPr>
        <w:t>capital</w:t>
      </w:r>
      <w:r w:rsidR="00443EAA">
        <w:rPr>
          <w:rFonts w:ascii="NewBaskerville-Roman" w:hAnsi="NewBaskerville-Roman" w:cs="NewBaskerville-Roman"/>
          <w:sz w:val="20"/>
          <w:szCs w:val="20"/>
        </w:rPr>
        <w:t xml:space="preserve">, </w:t>
      </w:r>
      <w:r w:rsidR="00443EAA">
        <w:rPr>
          <w:rFonts w:ascii="NewBaskerville-Italic" w:hAnsi="NewBaskerville-Italic" w:cs="NewBaskerville-Italic"/>
          <w:i/>
          <w:iCs/>
          <w:sz w:val="20"/>
          <w:szCs w:val="20"/>
        </w:rPr>
        <w:t>board</w:t>
      </w:r>
      <w:r w:rsidR="00443EAA">
        <w:rPr>
          <w:rFonts w:ascii="NewBaskerville-Roman" w:hAnsi="NewBaskerville-Roman" w:cs="NewBaskerville-Roman"/>
          <w:sz w:val="20"/>
          <w:szCs w:val="20"/>
        </w:rPr>
        <w:t xml:space="preserve">, </w:t>
      </w:r>
      <w:r w:rsidR="00443EAA">
        <w:rPr>
          <w:rFonts w:ascii="NewBaskerville-Italic" w:hAnsi="NewBaskerville-Italic" w:cs="NewBaskerville-Italic"/>
          <w:i/>
          <w:iCs/>
          <w:sz w:val="20"/>
          <w:szCs w:val="20"/>
        </w:rPr>
        <w:t>liability</w:t>
      </w:r>
      <w:r w:rsidR="00443EAA">
        <w:rPr>
          <w:rFonts w:ascii="NewBaskerville-Roman" w:hAnsi="NewBaskerville-Roman" w:cs="NewBaskerville-Roman"/>
          <w:sz w:val="20"/>
          <w:szCs w:val="20"/>
        </w:rPr>
        <w:t xml:space="preserve">, and </w:t>
      </w:r>
      <w:r w:rsidR="00443EAA">
        <w:rPr>
          <w:rFonts w:ascii="NewBaskerville-Italic" w:hAnsi="NewBaskerville-Italic" w:cs="NewBaskerville-Italic"/>
          <w:i/>
          <w:iCs/>
          <w:sz w:val="20"/>
          <w:szCs w:val="20"/>
        </w:rPr>
        <w:t>depreciation</w:t>
      </w:r>
      <w:r w:rsidR="00443EAA">
        <w:rPr>
          <w:rFonts w:ascii="NewBaskerville-Roman" w:hAnsi="NewBaskerville-Roman" w:cs="NewBaskerville-Roman"/>
          <w:sz w:val="20"/>
          <w:szCs w:val="20"/>
        </w:rPr>
        <w:t>, which are predominate</w:t>
      </w:r>
      <w:r>
        <w:rPr>
          <w:rFonts w:ascii="NewBaskerville-Roman" w:hAnsi="NewBaskerville-Roman" w:cs="NewBaskerville-Roman"/>
          <w:sz w:val="20"/>
          <w:szCs w:val="20"/>
        </w:rPr>
        <w:t xml:space="preserve"> </w:t>
      </w:r>
      <w:r w:rsidR="00443EAA">
        <w:rPr>
          <w:rFonts w:ascii="NewBaskerville-Roman" w:hAnsi="NewBaskerville-Roman" w:cs="NewBaskerville-Roman"/>
          <w:sz w:val="20"/>
          <w:szCs w:val="20"/>
        </w:rPr>
        <w:t>in firms’ 10-K filings, do not typically have negative meaning when</w:t>
      </w:r>
      <w:r>
        <w:rPr>
          <w:rFonts w:ascii="NewBaskerville-Roman" w:hAnsi="NewBaskerville-Roman" w:cs="NewBaskerville-Roman"/>
          <w:sz w:val="20"/>
          <w:szCs w:val="20"/>
        </w:rPr>
        <w:t xml:space="preserve"> </w:t>
      </w:r>
      <w:r w:rsidR="00443EAA">
        <w:rPr>
          <w:rFonts w:ascii="NewBaskerville-Roman" w:hAnsi="NewBaskerville-Roman" w:cs="NewBaskerville-Roman"/>
          <w:sz w:val="20"/>
          <w:szCs w:val="20"/>
        </w:rPr>
        <w:t>appearing in an annual report. They also document that several of the Harvard</w:t>
      </w:r>
      <w:r>
        <w:rPr>
          <w:rFonts w:ascii="NewBaskerville-Roman" w:hAnsi="NewBaskerville-Roman" w:cs="NewBaskerville-Roman"/>
          <w:sz w:val="20"/>
          <w:szCs w:val="20"/>
        </w:rPr>
        <w:t xml:space="preserve"> </w:t>
      </w:r>
      <w:r w:rsidR="00443EAA">
        <w:rPr>
          <w:rFonts w:ascii="NewBaskerville-Roman" w:hAnsi="NewBaskerville-Roman" w:cs="NewBaskerville-Roman"/>
          <w:sz w:val="20"/>
          <w:szCs w:val="20"/>
        </w:rPr>
        <w:t>negative words are likely to proxy for specific industries. For example,</w:t>
      </w:r>
      <w:r>
        <w:rPr>
          <w:rFonts w:ascii="NewBaskerville-Roman" w:hAnsi="NewBaskerville-Roman" w:cs="NewBaskerville-Roman"/>
          <w:sz w:val="20"/>
          <w:szCs w:val="20"/>
        </w:rPr>
        <w:t xml:space="preserve"> </w:t>
      </w:r>
      <w:r w:rsidR="00443EAA">
        <w:rPr>
          <w:rFonts w:ascii="NewBaskerville-Roman" w:hAnsi="NewBaskerville-Roman" w:cs="NewBaskerville-Roman"/>
          <w:sz w:val="20"/>
          <w:szCs w:val="20"/>
        </w:rPr>
        <w:t xml:space="preserve">management’s use of </w:t>
      </w:r>
      <w:r w:rsidR="00443EAA">
        <w:rPr>
          <w:rFonts w:ascii="NewBaskerville-Italic" w:hAnsi="NewBaskerville-Italic" w:cs="NewBaskerville-Italic"/>
          <w:i/>
          <w:iCs/>
          <w:sz w:val="20"/>
          <w:szCs w:val="20"/>
        </w:rPr>
        <w:t>crude</w:t>
      </w:r>
      <w:r w:rsidR="00443EAA">
        <w:rPr>
          <w:rFonts w:ascii="NewBaskerville-Roman" w:hAnsi="NewBaskerville-Roman" w:cs="NewBaskerville-Roman"/>
          <w:sz w:val="20"/>
          <w:szCs w:val="20"/>
        </w:rPr>
        <w:t xml:space="preserve">, </w:t>
      </w:r>
      <w:r w:rsidR="00443EAA">
        <w:rPr>
          <w:rFonts w:ascii="NewBaskerville-Italic" w:hAnsi="NewBaskerville-Italic" w:cs="NewBaskerville-Italic"/>
          <w:i/>
          <w:iCs/>
          <w:sz w:val="20"/>
          <w:szCs w:val="20"/>
        </w:rPr>
        <w:t>cancer</w:t>
      </w:r>
      <w:r w:rsidR="00443EAA">
        <w:rPr>
          <w:rFonts w:ascii="NewBaskerville-Roman" w:hAnsi="NewBaskerville-Roman" w:cs="NewBaskerville-Roman"/>
          <w:sz w:val="20"/>
          <w:szCs w:val="20"/>
        </w:rPr>
        <w:t xml:space="preserve">, and </w:t>
      </w:r>
      <w:r w:rsidR="00443EAA">
        <w:rPr>
          <w:rFonts w:ascii="NewBaskerville-Italic" w:hAnsi="NewBaskerville-Italic" w:cs="NewBaskerville-Italic"/>
          <w:i/>
          <w:iCs/>
          <w:sz w:val="20"/>
          <w:szCs w:val="20"/>
        </w:rPr>
        <w:t xml:space="preserve">mine </w:t>
      </w:r>
      <w:r w:rsidR="00443EAA">
        <w:rPr>
          <w:rFonts w:ascii="NewBaskerville-Roman" w:hAnsi="NewBaskerville-Roman" w:cs="NewBaskerville-Roman"/>
          <w:sz w:val="20"/>
          <w:szCs w:val="20"/>
        </w:rPr>
        <w:t>do not have negative meaning</w:t>
      </w:r>
      <w:r>
        <w:rPr>
          <w:rFonts w:ascii="NewBaskerville-Roman" w:hAnsi="NewBaskerville-Roman" w:cs="NewBaskerville-Roman"/>
          <w:sz w:val="20"/>
          <w:szCs w:val="20"/>
        </w:rPr>
        <w:t xml:space="preserve"> </w:t>
      </w:r>
      <w:r w:rsidR="00443EAA">
        <w:rPr>
          <w:rFonts w:ascii="NewBaskerville-Roman" w:hAnsi="NewBaskerville-Roman" w:cs="NewBaskerville-Roman"/>
          <w:sz w:val="20"/>
          <w:szCs w:val="20"/>
        </w:rPr>
        <w:t>and merely proxy for the oil, pharmaceutical, and mining industries.</w:t>
      </w:r>
      <w:r>
        <w:rPr>
          <w:rFonts w:ascii="NewBaskerville-Roman" w:hAnsi="NewBaskerville-Roman" w:cs="NewBaskerville-Roman"/>
          <w:sz w:val="20"/>
          <w:szCs w:val="20"/>
        </w:rPr>
        <w:t xml:space="preserve"> </w:t>
      </w:r>
      <w:r w:rsidR="00443EAA">
        <w:rPr>
          <w:rFonts w:ascii="NewBaskerville-Roman" w:hAnsi="NewBaskerville-Roman" w:cs="NewBaskerville-Roman"/>
          <w:sz w:val="20"/>
          <w:szCs w:val="20"/>
        </w:rPr>
        <w:t>They warn that researchers attempting to measure sentiment in business</w:t>
      </w:r>
      <w:r>
        <w:rPr>
          <w:rFonts w:ascii="NewBaskerville-Roman" w:hAnsi="NewBaskerville-Roman" w:cs="NewBaskerville-Roman"/>
          <w:sz w:val="20"/>
          <w:szCs w:val="20"/>
        </w:rPr>
        <w:t xml:space="preserve"> </w:t>
      </w:r>
      <w:r w:rsidR="00443EAA">
        <w:rPr>
          <w:rFonts w:ascii="NewBaskerville-Roman" w:hAnsi="NewBaskerville-Roman" w:cs="NewBaskerville-Roman"/>
          <w:sz w:val="20"/>
          <w:szCs w:val="20"/>
        </w:rPr>
        <w:t>communications should not use “classification schemes derived outside the</w:t>
      </w:r>
      <w:r>
        <w:rPr>
          <w:rFonts w:ascii="NewBaskerville-Roman" w:hAnsi="NewBaskerville-Roman" w:cs="NewBaskerville-Roman"/>
          <w:sz w:val="20"/>
          <w:szCs w:val="20"/>
        </w:rPr>
        <w:t xml:space="preserve"> </w:t>
      </w:r>
      <w:r w:rsidR="00443EAA">
        <w:rPr>
          <w:rFonts w:ascii="NewBaskerville-Roman" w:hAnsi="NewBaskerville-Roman" w:cs="NewBaskerville-Roman"/>
          <w:sz w:val="20"/>
          <w:szCs w:val="20"/>
        </w:rPr>
        <w:t>domain of business usage” (p. 62). Instead, word lists designed specifically</w:t>
      </w:r>
      <w:r>
        <w:rPr>
          <w:rFonts w:ascii="NewBaskerville-Roman" w:hAnsi="NewBaskerville-Roman" w:cs="NewBaskerville-Roman"/>
          <w:sz w:val="20"/>
          <w:szCs w:val="20"/>
        </w:rPr>
        <w:t xml:space="preserve">  </w:t>
      </w:r>
      <w:r>
        <w:rPr>
          <w:rFonts w:ascii="NewBaskerville-Roman" w:hAnsi="NewBaskerville-Roman" w:cs="NewBaskerville-Roman"/>
          <w:sz w:val="20"/>
          <w:szCs w:val="20"/>
        </w:rPr>
        <w:t>for business communication should be used to measure the sentiment of</w:t>
      </w:r>
      <w:r>
        <w:rPr>
          <w:rFonts w:ascii="NewBaskerville-Roman" w:hAnsi="NewBaskerville-Roman" w:cs="NewBaskerville-Roman"/>
          <w:sz w:val="20"/>
          <w:szCs w:val="20"/>
        </w:rPr>
        <w:t xml:space="preserve"> </w:t>
      </w:r>
      <w:r>
        <w:rPr>
          <w:rFonts w:ascii="NewBaskerville-Roman" w:hAnsi="NewBaskerville-Roman" w:cs="NewBaskerville-Roman"/>
          <w:sz w:val="20"/>
          <w:szCs w:val="20"/>
        </w:rPr>
        <w:t>business text.</w:t>
      </w:r>
      <w:r>
        <w:rPr>
          <w:rFonts w:ascii="NewBaskerville-Roman" w:hAnsi="NewBaskerville-Roman" w:cs="NewBaskerville-Roman"/>
          <w:sz w:val="20"/>
          <w:szCs w:val="20"/>
        </w:rPr>
        <w:t xml:space="preserve"> </w:t>
      </w:r>
    </w:p>
    <w:p w:rsidR="00517782" w:rsidRDefault="00517782" w:rsidP="00517782">
      <w:pPr>
        <w:autoSpaceDE w:val="0"/>
        <w:autoSpaceDN w:val="0"/>
        <w:adjustRightInd w:val="0"/>
        <w:spacing w:after="0" w:line="240" w:lineRule="auto"/>
        <w:rPr>
          <w:rFonts w:ascii="NewBaskerville-Roman" w:hAnsi="NewBaskerville-Roman" w:cs="NewBaskerville-Roman"/>
          <w:sz w:val="20"/>
          <w:szCs w:val="20"/>
        </w:rPr>
      </w:pPr>
      <w:r>
        <w:rPr>
          <w:rFonts w:ascii="NewBaskerville-Roman" w:hAnsi="NewBaskerville-Roman" w:cs="NewBaskerville-Roman"/>
          <w:sz w:val="20"/>
          <w:szCs w:val="20"/>
        </w:rPr>
        <w:t>Analyzing the Diction optimistic and pessimistic words, Loughran and</w:t>
      </w:r>
      <w:r>
        <w:rPr>
          <w:rFonts w:ascii="NewBaskerville-Roman" w:hAnsi="NewBaskerville-Roman" w:cs="NewBaskerville-Roman"/>
          <w:sz w:val="20"/>
          <w:szCs w:val="20"/>
        </w:rPr>
        <w:t xml:space="preserve"> </w:t>
      </w:r>
      <w:r>
        <w:rPr>
          <w:rFonts w:ascii="NewBaskerville-Roman" w:hAnsi="NewBaskerville-Roman" w:cs="NewBaskerville-Roman"/>
          <w:sz w:val="20"/>
          <w:szCs w:val="20"/>
        </w:rPr>
        <w:t>McDonald [2015] likewise find that the vast majority of the Diction words</w:t>
      </w:r>
      <w:r>
        <w:rPr>
          <w:rFonts w:ascii="NewBaskerville-Roman" w:hAnsi="NewBaskerville-Roman" w:cs="NewBaskerville-Roman"/>
          <w:sz w:val="20"/>
          <w:szCs w:val="20"/>
        </w:rPr>
        <w:t xml:space="preserve"> </w:t>
      </w:r>
      <w:r>
        <w:rPr>
          <w:rFonts w:ascii="NewBaskerville-Roman" w:hAnsi="NewBaskerville-Roman" w:cs="NewBaskerville-Roman"/>
          <w:sz w:val="20"/>
          <w:szCs w:val="20"/>
        </w:rPr>
        <w:t>are likely misclassified. Frequently occurring Diction optimistic words such</w:t>
      </w:r>
      <w:r>
        <w:rPr>
          <w:rFonts w:ascii="NewBaskerville-Roman" w:hAnsi="NewBaskerville-Roman" w:cs="NewBaskerville-Roman"/>
          <w:sz w:val="20"/>
          <w:szCs w:val="20"/>
        </w:rPr>
        <w:t xml:space="preserve"> </w:t>
      </w:r>
      <w:r>
        <w:rPr>
          <w:rFonts w:ascii="NewBaskerville-Roman" w:hAnsi="NewBaskerville-Roman" w:cs="NewBaskerville-Roman"/>
          <w:sz w:val="20"/>
          <w:szCs w:val="20"/>
        </w:rPr>
        <w:t xml:space="preserve">as </w:t>
      </w:r>
      <w:r>
        <w:rPr>
          <w:rFonts w:ascii="NewBaskerville-Italic" w:hAnsi="NewBaskerville-Italic" w:cs="NewBaskerville-Italic"/>
          <w:i/>
          <w:iCs/>
          <w:sz w:val="20"/>
          <w:szCs w:val="20"/>
        </w:rPr>
        <w:t>respect</w:t>
      </w:r>
      <w:r>
        <w:rPr>
          <w:rFonts w:ascii="NewBaskerville-Roman" w:hAnsi="NewBaskerville-Roman" w:cs="NewBaskerville-Roman"/>
          <w:sz w:val="20"/>
          <w:szCs w:val="20"/>
        </w:rPr>
        <w:t xml:space="preserve">, </w:t>
      </w:r>
      <w:r>
        <w:rPr>
          <w:rFonts w:ascii="NewBaskerville-Italic" w:hAnsi="NewBaskerville-Italic" w:cs="NewBaskerville-Italic"/>
          <w:i/>
          <w:iCs/>
          <w:sz w:val="20"/>
          <w:szCs w:val="20"/>
        </w:rPr>
        <w:t>necessary</w:t>
      </w:r>
      <w:r>
        <w:rPr>
          <w:rFonts w:ascii="NewBaskerville-Roman" w:hAnsi="NewBaskerville-Roman" w:cs="NewBaskerville-Roman"/>
          <w:sz w:val="20"/>
          <w:szCs w:val="20"/>
        </w:rPr>
        <w:t xml:space="preserve">, </w:t>
      </w:r>
      <w:r>
        <w:rPr>
          <w:rFonts w:ascii="NewBaskerville-Italic" w:hAnsi="NewBaskerville-Italic" w:cs="NewBaskerville-Italic"/>
          <w:i/>
          <w:iCs/>
          <w:sz w:val="20"/>
          <w:szCs w:val="20"/>
        </w:rPr>
        <w:t>power</w:t>
      </w:r>
      <w:r>
        <w:rPr>
          <w:rFonts w:ascii="NewBaskerville-Roman" w:hAnsi="NewBaskerville-Roman" w:cs="NewBaskerville-Roman"/>
          <w:sz w:val="20"/>
          <w:szCs w:val="20"/>
        </w:rPr>
        <w:t xml:space="preserve">, and </w:t>
      </w:r>
      <w:r>
        <w:rPr>
          <w:rFonts w:ascii="NewBaskerville-Italic" w:hAnsi="NewBaskerville-Italic" w:cs="NewBaskerville-Italic"/>
          <w:i/>
          <w:iCs/>
          <w:sz w:val="20"/>
          <w:szCs w:val="20"/>
        </w:rPr>
        <w:t xml:space="preserve">trust </w:t>
      </w:r>
      <w:r>
        <w:rPr>
          <w:rFonts w:ascii="NewBaskerville-Roman" w:hAnsi="NewBaskerville-Roman" w:cs="NewBaskerville-Roman"/>
          <w:sz w:val="20"/>
          <w:szCs w:val="20"/>
        </w:rPr>
        <w:t>will not typically have positive meaning</w:t>
      </w:r>
      <w:r>
        <w:rPr>
          <w:rFonts w:ascii="NewBaskerville-Roman" w:hAnsi="NewBaskerville-Roman" w:cs="NewBaskerville-Roman"/>
          <w:sz w:val="20"/>
          <w:szCs w:val="20"/>
        </w:rPr>
        <w:t xml:space="preserve"> </w:t>
      </w:r>
      <w:r>
        <w:rPr>
          <w:rFonts w:ascii="NewBaskerville-Roman" w:hAnsi="NewBaskerville-Roman" w:cs="NewBaskerville-Roman"/>
          <w:sz w:val="20"/>
          <w:szCs w:val="20"/>
        </w:rPr>
        <w:t>when used by managers to describe future or current operations. The two</w:t>
      </w:r>
      <w:r>
        <w:rPr>
          <w:rFonts w:ascii="NewBaskerville-Roman" w:hAnsi="NewBaskerville-Roman" w:cs="NewBaskerville-Roman"/>
          <w:sz w:val="20"/>
          <w:szCs w:val="20"/>
        </w:rPr>
        <w:t xml:space="preserve"> </w:t>
      </w:r>
      <w:r>
        <w:rPr>
          <w:rFonts w:ascii="NewBaskerville-Roman" w:hAnsi="NewBaskerville-Roman" w:cs="NewBaskerville-Roman"/>
          <w:sz w:val="20"/>
          <w:szCs w:val="20"/>
        </w:rPr>
        <w:t xml:space="preserve">authors also question whether Diction pessimism words like </w:t>
      </w:r>
      <w:r>
        <w:rPr>
          <w:rFonts w:ascii="NewBaskerville-Italic" w:hAnsi="NewBaskerville-Italic" w:cs="NewBaskerville-Italic"/>
          <w:i/>
          <w:iCs/>
          <w:sz w:val="20"/>
          <w:szCs w:val="20"/>
        </w:rPr>
        <w:t>no</w:t>
      </w:r>
      <w:r>
        <w:rPr>
          <w:rFonts w:ascii="NewBaskerville-Roman" w:hAnsi="NewBaskerville-Roman" w:cs="NewBaskerville-Roman"/>
          <w:sz w:val="20"/>
          <w:szCs w:val="20"/>
        </w:rPr>
        <w:t xml:space="preserve">, </w:t>
      </w:r>
      <w:r>
        <w:rPr>
          <w:rFonts w:ascii="NewBaskerville-Italic" w:hAnsi="NewBaskerville-Italic" w:cs="NewBaskerville-Italic"/>
          <w:i/>
          <w:iCs/>
          <w:sz w:val="20"/>
          <w:szCs w:val="20"/>
        </w:rPr>
        <w:t>not</w:t>
      </w:r>
      <w:r>
        <w:rPr>
          <w:rFonts w:ascii="NewBaskerville-Roman" w:hAnsi="NewBaskerville-Roman" w:cs="NewBaskerville-Roman"/>
          <w:sz w:val="20"/>
          <w:szCs w:val="20"/>
        </w:rPr>
        <w:t xml:space="preserve">, </w:t>
      </w:r>
      <w:r>
        <w:rPr>
          <w:rFonts w:ascii="NewBaskerville-Italic" w:hAnsi="NewBaskerville-Italic" w:cs="NewBaskerville-Italic"/>
          <w:i/>
          <w:iCs/>
          <w:sz w:val="20"/>
          <w:szCs w:val="20"/>
        </w:rPr>
        <w:t>without</w:t>
      </w:r>
      <w:r>
        <w:rPr>
          <w:rFonts w:ascii="NewBaskerville-Roman" w:hAnsi="NewBaskerville-Roman" w:cs="NewBaskerville-Roman"/>
          <w:sz w:val="20"/>
          <w:szCs w:val="20"/>
        </w:rPr>
        <w:t>,</w:t>
      </w:r>
      <w:r>
        <w:rPr>
          <w:rFonts w:ascii="NewBaskerville-Roman" w:hAnsi="NewBaskerville-Roman" w:cs="NewBaskerville-Roman"/>
          <w:sz w:val="20"/>
          <w:szCs w:val="20"/>
        </w:rPr>
        <w:t xml:space="preserve"> </w:t>
      </w:r>
      <w:r>
        <w:rPr>
          <w:rFonts w:ascii="NewBaskerville-Italic" w:hAnsi="NewBaskerville-Italic" w:cs="NewBaskerville-Italic"/>
          <w:i/>
          <w:iCs/>
          <w:sz w:val="20"/>
          <w:szCs w:val="20"/>
        </w:rPr>
        <w:t>gross</w:t>
      </w:r>
      <w:r>
        <w:rPr>
          <w:rFonts w:ascii="NewBaskerville-Roman" w:hAnsi="NewBaskerville-Roman" w:cs="NewBaskerville-Roman"/>
          <w:sz w:val="20"/>
          <w:szCs w:val="20"/>
        </w:rPr>
        <w:t xml:space="preserve">, and </w:t>
      </w:r>
      <w:r>
        <w:rPr>
          <w:rFonts w:ascii="NewBaskerville-Italic" w:hAnsi="NewBaskerville-Italic" w:cs="NewBaskerville-Italic"/>
          <w:i/>
          <w:iCs/>
          <w:sz w:val="20"/>
          <w:szCs w:val="20"/>
        </w:rPr>
        <w:t xml:space="preserve">pain </w:t>
      </w:r>
      <w:r>
        <w:rPr>
          <w:rFonts w:ascii="NewBaskerville-Roman" w:hAnsi="NewBaskerville-Roman" w:cs="NewBaskerville-Roman"/>
          <w:sz w:val="20"/>
          <w:szCs w:val="20"/>
        </w:rPr>
        <w:t>will have negative meaning in the context of the typical</w:t>
      </w:r>
    </w:p>
    <w:p w:rsidR="00517782" w:rsidRDefault="00517782" w:rsidP="00517782">
      <w:pPr>
        <w:rPr>
          <w:rFonts w:ascii="NewBaskerville-Roman" w:hAnsi="NewBaskerville-Roman" w:cs="NewBaskerville-Roman"/>
          <w:sz w:val="20"/>
          <w:szCs w:val="20"/>
        </w:rPr>
      </w:pPr>
      <w:r>
        <w:rPr>
          <w:rFonts w:ascii="NewBaskerville-Roman" w:hAnsi="NewBaskerville-Roman" w:cs="NewBaskerville-Roman"/>
          <w:sz w:val="20"/>
          <w:szCs w:val="20"/>
        </w:rPr>
        <w:t>accounting disclosure.</w:t>
      </w:r>
    </w:p>
    <w:p w:rsidR="00517782" w:rsidRDefault="00517782" w:rsidP="00517782">
      <w:r>
        <w:t>Pp 1204</w:t>
      </w:r>
    </w:p>
    <w:p w:rsidR="00517782" w:rsidRDefault="00517782" w:rsidP="00517782">
      <w:pPr>
        <w:rPr>
          <w:rFonts w:ascii="NewBaskerville-Roman" w:hAnsi="NewBaskerville-Roman" w:cs="NewBaskerville-Roman"/>
          <w:sz w:val="20"/>
          <w:szCs w:val="20"/>
        </w:rPr>
      </w:pPr>
      <w:r>
        <w:rPr>
          <w:rFonts w:ascii="NewBaskerville-Roman" w:hAnsi="NewBaskerville-Roman" w:cs="NewBaskerville-Roman"/>
          <w:sz w:val="20"/>
          <w:szCs w:val="20"/>
        </w:rPr>
        <w:lastRenderedPageBreak/>
        <w:t>Many papers have used the LM word lists to measure tone in newspaper</w:t>
      </w:r>
      <w:r>
        <w:rPr>
          <w:rFonts w:ascii="NewBaskerville-Roman" w:hAnsi="NewBaskerville-Roman" w:cs="NewBaskerville-Roman"/>
          <w:sz w:val="20"/>
          <w:szCs w:val="20"/>
        </w:rPr>
        <w:t xml:space="preserve"> </w:t>
      </w:r>
      <w:r>
        <w:rPr>
          <w:rFonts w:ascii="NewBaskerville-Roman" w:hAnsi="NewBaskerville-Roman" w:cs="NewBaskerville-Roman"/>
          <w:sz w:val="20"/>
          <w:szCs w:val="20"/>
        </w:rPr>
        <w:t>articles/columns. Expanding on the earlier work of Tetlock [2007], Dougal</w:t>
      </w:r>
      <w:r>
        <w:rPr>
          <w:rFonts w:ascii="NewBaskerville-Roman" w:hAnsi="NewBaskerville-Roman" w:cs="NewBaskerville-Roman"/>
          <w:sz w:val="20"/>
          <w:szCs w:val="20"/>
        </w:rPr>
        <w:t xml:space="preserve"> </w:t>
      </w:r>
      <w:r>
        <w:rPr>
          <w:rFonts w:ascii="NewBaskerville-Roman" w:hAnsi="NewBaskerville-Roman" w:cs="NewBaskerville-Roman"/>
          <w:sz w:val="20"/>
          <w:szCs w:val="20"/>
        </w:rPr>
        <w:t>et al. [2012] examine the authorship of the WSJ’s “Abreast of the Market”</w:t>
      </w:r>
      <w:r>
        <w:rPr>
          <w:rFonts w:ascii="NewBaskerville-Roman" w:hAnsi="NewBaskerville-Roman" w:cs="NewBaskerville-Roman"/>
          <w:sz w:val="20"/>
          <w:szCs w:val="20"/>
        </w:rPr>
        <w:t xml:space="preserve"> </w:t>
      </w:r>
      <w:r>
        <w:rPr>
          <w:rFonts w:ascii="NewBaskerville-Roman" w:hAnsi="NewBaskerville-Roman" w:cs="NewBaskerville-Roman"/>
          <w:sz w:val="20"/>
          <w:szCs w:val="20"/>
        </w:rPr>
        <w:t>column. They find that journalists associated with more pessimistic column</w:t>
      </w:r>
      <w:r>
        <w:rPr>
          <w:rFonts w:ascii="NewBaskerville-Roman" w:hAnsi="NewBaskerville-Roman" w:cs="NewBaskerville-Roman"/>
          <w:sz w:val="20"/>
          <w:szCs w:val="20"/>
        </w:rPr>
        <w:t xml:space="preserve"> </w:t>
      </w:r>
      <w:r>
        <w:rPr>
          <w:rFonts w:ascii="NewBaskerville-Roman" w:hAnsi="NewBaskerville-Roman" w:cs="NewBaskerville-Roman"/>
          <w:sz w:val="20"/>
          <w:szCs w:val="20"/>
        </w:rPr>
        <w:t>tone are directly linked to more negative market returns the following day.</w:t>
      </w:r>
      <w:r>
        <w:rPr>
          <w:rFonts w:ascii="NewBaskerville-Roman" w:hAnsi="NewBaskerville-Roman" w:cs="NewBaskerville-Roman"/>
          <w:sz w:val="20"/>
          <w:szCs w:val="20"/>
        </w:rPr>
        <w:t xml:space="preserve"> </w:t>
      </w:r>
      <w:r>
        <w:rPr>
          <w:rFonts w:ascii="NewBaskerville-Roman" w:hAnsi="NewBaskerville-Roman" w:cs="NewBaskerville-Roman"/>
          <w:sz w:val="20"/>
          <w:szCs w:val="20"/>
        </w:rPr>
        <w:t>Examining the influence of the media on 636 acquisitions that had a negative</w:t>
      </w:r>
      <w:r>
        <w:rPr>
          <w:rFonts w:ascii="NewBaskerville-Roman" w:hAnsi="NewBaskerville-Roman" w:cs="NewBaskerville-Roman"/>
          <w:sz w:val="20"/>
          <w:szCs w:val="20"/>
        </w:rPr>
        <w:t xml:space="preserve"> </w:t>
      </w:r>
      <w:r>
        <w:rPr>
          <w:rFonts w:ascii="NewBaskerville-Roman" w:hAnsi="NewBaskerville-Roman" w:cs="NewBaskerville-Roman"/>
          <w:sz w:val="20"/>
          <w:szCs w:val="20"/>
        </w:rPr>
        <w:t>announcement reaction from investors during the period 1990–2010,</w:t>
      </w:r>
    </w:p>
    <w:p w:rsidR="00517782" w:rsidRDefault="00BF6E07" w:rsidP="00517782">
      <w:pPr>
        <w:rPr>
          <w:rFonts w:ascii="NewBaskerville-Roman" w:hAnsi="NewBaskerville-Roman" w:cs="NewBaskerville-Roman"/>
          <w:sz w:val="20"/>
          <w:szCs w:val="20"/>
        </w:rPr>
      </w:pPr>
      <w:r w:rsidRPr="00BF6E07">
        <w:rPr>
          <w:rFonts w:ascii="NewBaskerville-Roman" w:hAnsi="NewBaskerville-Roman" w:cs="NewBaskerville-Roman"/>
          <w:noProof/>
          <w:sz w:val="20"/>
          <w:szCs w:val="20"/>
          <w:lang w:eastAsia="en-IE"/>
        </w:rPr>
        <w:drawing>
          <wp:inline distT="0" distB="0" distL="0" distR="0">
            <wp:extent cx="5731510" cy="4463019"/>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1510" cy="4463019"/>
                    </a:xfrm>
                    <a:prstGeom prst="rect">
                      <a:avLst/>
                    </a:prstGeom>
                    <a:noFill/>
                    <a:ln>
                      <a:noFill/>
                    </a:ln>
                  </pic:spPr>
                </pic:pic>
              </a:graphicData>
            </a:graphic>
          </wp:inline>
        </w:drawing>
      </w:r>
    </w:p>
    <w:p w:rsidR="00BF6E07" w:rsidRDefault="00BF6E07" w:rsidP="00517782">
      <w:pPr>
        <w:rPr>
          <w:rFonts w:ascii="NewBaskerville-Roman" w:hAnsi="NewBaskerville-Roman" w:cs="NewBaskerville-Roman"/>
          <w:sz w:val="20"/>
          <w:szCs w:val="20"/>
        </w:rPr>
      </w:pPr>
      <w:r w:rsidRPr="00BF6E07">
        <w:rPr>
          <w:rFonts w:ascii="NewBaskerville-Roman" w:hAnsi="NewBaskerville-Roman" w:cs="NewBaskerville-Roman"/>
          <w:noProof/>
          <w:sz w:val="20"/>
          <w:szCs w:val="20"/>
          <w:lang w:eastAsia="en-IE"/>
        </w:rPr>
        <w:lastRenderedPageBreak/>
        <w:drawing>
          <wp:inline distT="0" distB="0" distL="0" distR="0">
            <wp:extent cx="5731510" cy="5059888"/>
            <wp:effectExtent l="0" t="0" r="254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1510" cy="5059888"/>
                    </a:xfrm>
                    <a:prstGeom prst="rect">
                      <a:avLst/>
                    </a:prstGeom>
                    <a:noFill/>
                    <a:ln>
                      <a:noFill/>
                    </a:ln>
                  </pic:spPr>
                </pic:pic>
              </a:graphicData>
            </a:graphic>
          </wp:inline>
        </w:drawing>
      </w:r>
      <w:r w:rsidR="005E1369">
        <w:rPr>
          <w:rFonts w:ascii="NewBaskerville-Roman" w:hAnsi="NewBaskerville-Roman" w:cs="NewBaskerville-Roman"/>
          <w:sz w:val="20"/>
          <w:szCs w:val="20"/>
        </w:rPr>
        <w:t xml:space="preserve">      </w:t>
      </w:r>
      <w:bookmarkStart w:id="0" w:name="_GoBack"/>
      <w:bookmarkEnd w:id="0"/>
    </w:p>
    <w:p w:rsidR="00517782" w:rsidRDefault="00517782" w:rsidP="00517782">
      <w:r>
        <w:rPr>
          <w:rFonts w:ascii="NewBaskerville-Roman" w:hAnsi="NewBaskerville-Roman" w:cs="NewBaskerville-Roman"/>
          <w:sz w:val="20"/>
          <w:szCs w:val="20"/>
        </w:rPr>
        <w:t>Pp 1206:</w:t>
      </w:r>
      <w:r w:rsidRPr="00517782">
        <w:rPr>
          <w:rFonts w:ascii="NewBaskerville-Roman" w:hAnsi="NewBaskerville-Roman" w:cs="NewBaskerville-Roman"/>
          <w:sz w:val="20"/>
          <w:szCs w:val="20"/>
        </w:rPr>
        <w:t xml:space="preserve"> </w:t>
      </w:r>
      <w:r w:rsidRPr="00517782">
        <w:rPr>
          <w:rFonts w:ascii="NewBaskerville-Roman" w:hAnsi="NewBaskerville-Roman" w:cs="NewBaskerville-Roman"/>
          <w:sz w:val="20"/>
          <w:szCs w:val="20"/>
          <w:highlight w:val="yellow"/>
        </w:rPr>
        <w:t>Does the content and pitch of a manager’s voice during their discussion</w:t>
      </w:r>
      <w:r w:rsidRPr="00517782">
        <w:rPr>
          <w:rFonts w:ascii="NewBaskerville-Roman" w:hAnsi="NewBaskerville-Roman" w:cs="NewBaskerville-Roman"/>
          <w:sz w:val="20"/>
          <w:szCs w:val="20"/>
          <w:highlight w:val="yellow"/>
        </w:rPr>
        <w:t xml:space="preserve"> </w:t>
      </w:r>
      <w:r w:rsidRPr="00517782">
        <w:rPr>
          <w:rFonts w:ascii="NewBaskerville-Roman" w:hAnsi="NewBaskerville-Roman" w:cs="NewBaskerville-Roman"/>
          <w:sz w:val="20"/>
          <w:szCs w:val="20"/>
          <w:highlight w:val="yellow"/>
        </w:rPr>
        <w:t>with analysts in a conference call provide any insights for the company’s</w:t>
      </w:r>
      <w:r w:rsidRPr="00517782">
        <w:rPr>
          <w:rFonts w:ascii="NewBaskerville-Roman" w:hAnsi="NewBaskerville-Roman" w:cs="NewBaskerville-Roman"/>
          <w:sz w:val="20"/>
          <w:szCs w:val="20"/>
          <w:highlight w:val="yellow"/>
        </w:rPr>
        <w:t xml:space="preserve"> </w:t>
      </w:r>
      <w:r w:rsidRPr="00517782">
        <w:rPr>
          <w:rFonts w:ascii="NewBaskerville-Roman" w:hAnsi="NewBaskerville-Roman" w:cs="NewBaskerville-Roman"/>
          <w:sz w:val="20"/>
          <w:szCs w:val="20"/>
          <w:highlight w:val="yellow"/>
        </w:rPr>
        <w:t>contemporaneous returns or even future performance? Using a sample of</w:t>
      </w:r>
      <w:r w:rsidRPr="00517782">
        <w:rPr>
          <w:rFonts w:ascii="NewBaskerville-Roman" w:hAnsi="NewBaskerville-Roman" w:cs="NewBaskerville-Roman"/>
          <w:sz w:val="20"/>
          <w:szCs w:val="20"/>
          <w:highlight w:val="yellow"/>
        </w:rPr>
        <w:t xml:space="preserve"> </w:t>
      </w:r>
      <w:r w:rsidRPr="00517782">
        <w:rPr>
          <w:rFonts w:ascii="NewBaskerville-Roman" w:hAnsi="NewBaskerville-Roman" w:cs="NewBaskerville-Roman"/>
          <w:sz w:val="20"/>
          <w:szCs w:val="20"/>
          <w:highlight w:val="yellow"/>
        </w:rPr>
        <w:t>earnings conference call audio files during 2007, Mayew and Venkatachalam</w:t>
      </w:r>
      <w:r w:rsidRPr="00517782">
        <w:rPr>
          <w:rFonts w:ascii="NewBaskerville-Roman" w:hAnsi="NewBaskerville-Roman" w:cs="NewBaskerville-Roman"/>
          <w:sz w:val="20"/>
          <w:szCs w:val="20"/>
          <w:highlight w:val="yellow"/>
        </w:rPr>
        <w:t xml:space="preserve"> </w:t>
      </w:r>
      <w:r w:rsidRPr="00517782">
        <w:rPr>
          <w:rFonts w:ascii="NewBaskerville-Roman" w:hAnsi="NewBaskerville-Roman" w:cs="NewBaskerville-Roman"/>
          <w:sz w:val="20"/>
          <w:szCs w:val="20"/>
          <w:highlight w:val="yellow"/>
        </w:rPr>
        <w:t>[2012] measure positive and negative aspects of managers’ emotional</w:t>
      </w:r>
      <w:r w:rsidRPr="00517782">
        <w:rPr>
          <w:rFonts w:ascii="NewBaskerville-Roman" w:hAnsi="NewBaskerville-Roman" w:cs="NewBaskerville-Roman"/>
          <w:sz w:val="20"/>
          <w:szCs w:val="20"/>
          <w:highlight w:val="yellow"/>
        </w:rPr>
        <w:t xml:space="preserve"> </w:t>
      </w:r>
      <w:r w:rsidRPr="00517782">
        <w:rPr>
          <w:rFonts w:ascii="NewBaskerville-Roman" w:hAnsi="NewBaskerville-Roman" w:cs="NewBaskerville-Roman"/>
          <w:sz w:val="20"/>
          <w:szCs w:val="20"/>
          <w:highlight w:val="yellow"/>
        </w:rPr>
        <w:t>state. In regressions with contemporaneous stock returns as the dependent</w:t>
      </w:r>
      <w:r w:rsidRPr="00517782">
        <w:rPr>
          <w:rFonts w:ascii="NewBaskerville-Roman" w:hAnsi="NewBaskerville-Roman" w:cs="NewBaskerville-Roman"/>
          <w:sz w:val="20"/>
          <w:szCs w:val="20"/>
          <w:highlight w:val="yellow"/>
        </w:rPr>
        <w:t xml:space="preserve"> </w:t>
      </w:r>
      <w:r w:rsidRPr="00517782">
        <w:rPr>
          <w:rFonts w:ascii="NewBaskerville-Roman" w:hAnsi="NewBaskerville-Roman" w:cs="NewBaskerville-Roman"/>
          <w:sz w:val="20"/>
          <w:szCs w:val="20"/>
          <w:highlight w:val="yellow"/>
        </w:rPr>
        <w:t>variable, they find that LM positive word frequencies are associated with</w:t>
      </w:r>
      <w:r w:rsidRPr="00517782">
        <w:rPr>
          <w:rFonts w:ascii="NewBaskerville-Roman" w:hAnsi="NewBaskerville-Roman" w:cs="NewBaskerville-Roman"/>
          <w:sz w:val="20"/>
          <w:szCs w:val="20"/>
          <w:highlight w:val="yellow"/>
        </w:rPr>
        <w:t xml:space="preserve"> </w:t>
      </w:r>
      <w:r w:rsidRPr="00517782">
        <w:rPr>
          <w:rFonts w:ascii="NewBaskerville-Roman" w:hAnsi="NewBaskerville-Roman" w:cs="NewBaskerville-Roman"/>
          <w:sz w:val="20"/>
          <w:szCs w:val="20"/>
          <w:highlight w:val="yellow"/>
        </w:rPr>
        <w:t>higher returns, while LM negative word frequencies are linked with lower</w:t>
      </w:r>
      <w:r w:rsidRPr="00517782">
        <w:rPr>
          <w:rFonts w:ascii="NewBaskerville-Roman" w:hAnsi="NewBaskerville-Roman" w:cs="NewBaskerville-Roman"/>
          <w:sz w:val="20"/>
          <w:szCs w:val="20"/>
          <w:highlight w:val="yellow"/>
        </w:rPr>
        <w:t xml:space="preserve"> </w:t>
      </w:r>
      <w:r w:rsidRPr="00517782">
        <w:rPr>
          <w:rFonts w:ascii="NewBaskerville-Roman" w:hAnsi="NewBaskerville-Roman" w:cs="NewBaskerville-Roman"/>
          <w:sz w:val="20"/>
          <w:szCs w:val="20"/>
          <w:highlight w:val="yellow"/>
        </w:rPr>
        <w:t>returns. Importantly, the stock market responds to the vocal cues of managers</w:t>
      </w:r>
      <w:r w:rsidRPr="00517782">
        <w:rPr>
          <w:rFonts w:ascii="NewBaskerville-Roman" w:hAnsi="NewBaskerville-Roman" w:cs="NewBaskerville-Roman"/>
          <w:sz w:val="20"/>
          <w:szCs w:val="20"/>
          <w:highlight w:val="yellow"/>
        </w:rPr>
        <w:t xml:space="preserve"> </w:t>
      </w:r>
      <w:r w:rsidRPr="00517782">
        <w:rPr>
          <w:rFonts w:ascii="NewBaskerville-Roman" w:hAnsi="NewBaskerville-Roman" w:cs="NewBaskerville-Roman"/>
          <w:sz w:val="20"/>
          <w:szCs w:val="20"/>
          <w:highlight w:val="yellow"/>
        </w:rPr>
        <w:t>during the Q&amp;A portion of the call even after controlling for the tone</w:t>
      </w:r>
      <w:r w:rsidRPr="00517782">
        <w:rPr>
          <w:rFonts w:ascii="NewBaskerville-Roman" w:hAnsi="NewBaskerville-Roman" w:cs="NewBaskerville-Roman"/>
          <w:sz w:val="20"/>
          <w:szCs w:val="20"/>
          <w:highlight w:val="yellow"/>
        </w:rPr>
        <w:t xml:space="preserve"> </w:t>
      </w:r>
      <w:r w:rsidRPr="00517782">
        <w:rPr>
          <w:rFonts w:ascii="NewBaskerville-Roman" w:hAnsi="NewBaskerville-Roman" w:cs="NewBaskerville-Roman"/>
          <w:sz w:val="20"/>
          <w:szCs w:val="20"/>
          <w:highlight w:val="yellow"/>
        </w:rPr>
        <w:t>of the call. Positive managerial affect is associated with higher contemporaneous</w:t>
      </w:r>
      <w:r w:rsidRPr="00517782">
        <w:rPr>
          <w:rFonts w:ascii="NewBaskerville-Roman" w:hAnsi="NewBaskerville-Roman" w:cs="NewBaskerville-Roman"/>
          <w:sz w:val="20"/>
          <w:szCs w:val="20"/>
          <w:highlight w:val="yellow"/>
        </w:rPr>
        <w:t xml:space="preserve"> </w:t>
      </w:r>
      <w:r w:rsidRPr="00517782">
        <w:rPr>
          <w:rFonts w:ascii="NewBaskerville-Roman" w:hAnsi="NewBaskerville-Roman" w:cs="NewBaskerville-Roman"/>
          <w:sz w:val="20"/>
          <w:szCs w:val="20"/>
          <w:highlight w:val="yellow"/>
        </w:rPr>
        <w:t>returns.</w:t>
      </w:r>
    </w:p>
    <w:p w:rsidR="00517782" w:rsidRDefault="00517782" w:rsidP="00517782"/>
    <w:p w:rsidR="00517782" w:rsidRDefault="00517782" w:rsidP="00517782">
      <w:pPr>
        <w:rPr>
          <w:noProof/>
        </w:rPr>
      </w:pPr>
      <w:r w:rsidRPr="00517782">
        <w:rPr>
          <w:rFonts w:ascii="NewBaskerville-Roman" w:hAnsi="NewBaskerville-Roman" w:cs="NewBaskerville-Roman"/>
          <w:sz w:val="20"/>
          <w:szCs w:val="20"/>
          <w:highlight w:val="yellow"/>
        </w:rPr>
        <w:t>Similarly, Purda and Skillicorn [2015] data mine 10-Ks to find words that</w:t>
      </w:r>
      <w:r w:rsidRPr="00517782">
        <w:rPr>
          <w:rFonts w:ascii="NewBaskerville-Roman" w:hAnsi="NewBaskerville-Roman" w:cs="NewBaskerville-Roman"/>
          <w:sz w:val="20"/>
          <w:szCs w:val="20"/>
          <w:highlight w:val="yellow"/>
        </w:rPr>
        <w:t xml:space="preserve"> </w:t>
      </w:r>
      <w:r w:rsidRPr="00517782">
        <w:rPr>
          <w:rFonts w:ascii="NewBaskerville-Roman" w:hAnsi="NewBaskerville-Roman" w:cs="NewBaskerville-Roman"/>
          <w:sz w:val="20"/>
          <w:szCs w:val="20"/>
          <w:highlight w:val="yellow"/>
        </w:rPr>
        <w:t xml:space="preserve">are best at predicting fraud. Although expected words such as </w:t>
      </w:r>
      <w:r w:rsidRPr="00517782">
        <w:rPr>
          <w:rFonts w:ascii="NewBaskerville-Italic" w:hAnsi="NewBaskerville-Italic" w:cs="NewBaskerville-Italic"/>
          <w:i/>
          <w:iCs/>
          <w:sz w:val="20"/>
          <w:szCs w:val="20"/>
          <w:highlight w:val="yellow"/>
        </w:rPr>
        <w:t>acquisition</w:t>
      </w:r>
      <w:r w:rsidRPr="00517782">
        <w:rPr>
          <w:rFonts w:ascii="NewBaskerville-Italic" w:hAnsi="NewBaskerville-Italic" w:cs="NewBaskerville-Italic"/>
          <w:i/>
          <w:iCs/>
          <w:sz w:val="20"/>
          <w:szCs w:val="20"/>
          <w:highlight w:val="yellow"/>
        </w:rPr>
        <w:t xml:space="preserve"> </w:t>
      </w:r>
      <w:r w:rsidRPr="00517782">
        <w:rPr>
          <w:rFonts w:ascii="NewBaskerville-Roman" w:hAnsi="NewBaskerville-Roman" w:cs="NewBaskerville-Roman"/>
          <w:sz w:val="20"/>
          <w:szCs w:val="20"/>
          <w:highlight w:val="yellow"/>
        </w:rPr>
        <w:t xml:space="preserve">and </w:t>
      </w:r>
      <w:r w:rsidRPr="00517782">
        <w:rPr>
          <w:rFonts w:ascii="NewBaskerville-Italic" w:hAnsi="NewBaskerville-Italic" w:cs="NewBaskerville-Italic"/>
          <w:i/>
          <w:iCs/>
          <w:sz w:val="20"/>
          <w:szCs w:val="20"/>
          <w:highlight w:val="yellow"/>
        </w:rPr>
        <w:t xml:space="preserve">acquisitions </w:t>
      </w:r>
      <w:r w:rsidRPr="00517782">
        <w:rPr>
          <w:rFonts w:ascii="NewBaskerville-Roman" w:hAnsi="NewBaskerville-Roman" w:cs="NewBaskerville-Roman"/>
          <w:sz w:val="20"/>
          <w:szCs w:val="20"/>
          <w:highlight w:val="yellow"/>
        </w:rPr>
        <w:t>appear high on the list, they also report many instances</w:t>
      </w:r>
      <w:r w:rsidRPr="00517782">
        <w:rPr>
          <w:rFonts w:ascii="NewBaskerville-Roman" w:hAnsi="NewBaskerville-Roman" w:cs="NewBaskerville-Roman"/>
          <w:sz w:val="20"/>
          <w:szCs w:val="20"/>
          <w:highlight w:val="yellow"/>
        </w:rPr>
        <w:t xml:space="preserve"> </w:t>
      </w:r>
      <w:r w:rsidRPr="00517782">
        <w:rPr>
          <w:rFonts w:ascii="NewBaskerville-Roman" w:hAnsi="NewBaskerville-Roman" w:cs="NewBaskerville-Roman"/>
          <w:sz w:val="20"/>
          <w:szCs w:val="20"/>
          <w:highlight w:val="yellow"/>
        </w:rPr>
        <w:t xml:space="preserve">where the most predictive words (e.g., </w:t>
      </w:r>
      <w:r w:rsidRPr="00517782">
        <w:rPr>
          <w:rFonts w:ascii="NewBaskerville-Italic" w:hAnsi="NewBaskerville-Italic" w:cs="NewBaskerville-Italic"/>
          <w:i/>
          <w:iCs/>
          <w:sz w:val="20"/>
          <w:szCs w:val="20"/>
          <w:highlight w:val="yellow"/>
        </w:rPr>
        <w:t>at</w:t>
      </w:r>
      <w:r w:rsidRPr="00517782">
        <w:rPr>
          <w:rFonts w:ascii="NewBaskerville-Roman" w:hAnsi="NewBaskerville-Roman" w:cs="NewBaskerville-Roman"/>
          <w:sz w:val="20"/>
          <w:szCs w:val="20"/>
          <w:highlight w:val="yellow"/>
        </w:rPr>
        <w:t xml:space="preserve">, </w:t>
      </w:r>
      <w:r w:rsidRPr="00517782">
        <w:rPr>
          <w:rFonts w:ascii="NewBaskerville-Italic" w:hAnsi="NewBaskerville-Italic" w:cs="NewBaskerville-Italic"/>
          <w:i/>
          <w:iCs/>
          <w:sz w:val="20"/>
          <w:szCs w:val="20"/>
          <w:highlight w:val="yellow"/>
        </w:rPr>
        <w:t>as</w:t>
      </w:r>
      <w:r w:rsidRPr="00517782">
        <w:rPr>
          <w:rFonts w:ascii="NewBaskerville-Roman" w:hAnsi="NewBaskerville-Roman" w:cs="NewBaskerville-Roman"/>
          <w:sz w:val="20"/>
          <w:szCs w:val="20"/>
          <w:highlight w:val="yellow"/>
        </w:rPr>
        <w:t xml:space="preserve">, </w:t>
      </w:r>
      <w:r w:rsidRPr="00517782">
        <w:rPr>
          <w:rFonts w:ascii="NewBaskerville-Italic" w:hAnsi="NewBaskerville-Italic" w:cs="NewBaskerville-Italic"/>
          <w:i/>
          <w:iCs/>
          <w:sz w:val="20"/>
          <w:szCs w:val="20"/>
          <w:highlight w:val="yellow"/>
        </w:rPr>
        <w:t>it</w:t>
      </w:r>
      <w:r w:rsidRPr="00517782">
        <w:rPr>
          <w:rFonts w:ascii="NewBaskerville-Roman" w:hAnsi="NewBaskerville-Roman" w:cs="NewBaskerville-Roman"/>
          <w:sz w:val="20"/>
          <w:szCs w:val="20"/>
          <w:highlight w:val="yellow"/>
        </w:rPr>
        <w:t xml:space="preserve">, </w:t>
      </w:r>
      <w:r w:rsidRPr="00517782">
        <w:rPr>
          <w:rFonts w:ascii="NewBaskerville-Italic" w:hAnsi="NewBaskerville-Italic" w:cs="NewBaskerville-Italic"/>
          <w:i/>
          <w:iCs/>
          <w:sz w:val="20"/>
          <w:szCs w:val="20"/>
          <w:highlight w:val="yellow"/>
        </w:rPr>
        <w:t>or</w:t>
      </w:r>
      <w:r w:rsidRPr="00517782">
        <w:rPr>
          <w:rFonts w:ascii="NewBaskerville-Roman" w:hAnsi="NewBaskerville-Roman" w:cs="NewBaskerville-Roman"/>
          <w:sz w:val="20"/>
          <w:szCs w:val="20"/>
          <w:highlight w:val="yellow"/>
        </w:rPr>
        <w:t xml:space="preserve">, </w:t>
      </w:r>
      <w:r w:rsidRPr="00517782">
        <w:rPr>
          <w:rFonts w:ascii="NewBaskerville-Italic" w:hAnsi="NewBaskerville-Italic" w:cs="NewBaskerville-Italic"/>
          <w:i/>
          <w:iCs/>
          <w:sz w:val="20"/>
          <w:szCs w:val="20"/>
          <w:highlight w:val="yellow"/>
        </w:rPr>
        <w:t>on</w:t>
      </w:r>
      <w:r w:rsidRPr="00517782">
        <w:rPr>
          <w:rFonts w:ascii="NewBaskerville-Roman" w:hAnsi="NewBaskerville-Roman" w:cs="NewBaskerville-Roman"/>
          <w:sz w:val="20"/>
          <w:szCs w:val="20"/>
          <w:highlight w:val="yellow"/>
        </w:rPr>
        <w:t xml:space="preserve">, </w:t>
      </w:r>
      <w:r w:rsidRPr="00517782">
        <w:rPr>
          <w:rFonts w:ascii="NewBaskerville-Italic" w:hAnsi="NewBaskerville-Italic" w:cs="NewBaskerville-Italic"/>
          <w:i/>
          <w:iCs/>
          <w:sz w:val="20"/>
          <w:szCs w:val="20"/>
          <w:highlight w:val="yellow"/>
        </w:rPr>
        <w:t>may</w:t>
      </w:r>
      <w:r w:rsidRPr="00517782">
        <w:rPr>
          <w:rFonts w:ascii="NewBaskerville-Roman" w:hAnsi="NewBaskerville-Roman" w:cs="NewBaskerville-Roman"/>
          <w:sz w:val="20"/>
          <w:szCs w:val="20"/>
          <w:highlight w:val="yellow"/>
        </w:rPr>
        <w:t>) might fail “smell</w:t>
      </w:r>
      <w:r w:rsidRPr="00517782">
        <w:rPr>
          <w:rFonts w:ascii="NewBaskerville-Roman" w:hAnsi="NewBaskerville-Roman" w:cs="NewBaskerville-Roman"/>
          <w:sz w:val="20"/>
          <w:szCs w:val="20"/>
          <w:highlight w:val="yellow"/>
        </w:rPr>
        <w:t xml:space="preserve"> </w:t>
      </w:r>
      <w:r w:rsidRPr="00517782">
        <w:rPr>
          <w:rFonts w:ascii="NewBaskerville-Roman" w:hAnsi="NewBaskerville-Roman" w:cs="NewBaskerville-Roman"/>
          <w:sz w:val="20"/>
          <w:szCs w:val="20"/>
          <w:highlight w:val="yellow"/>
        </w:rPr>
        <w:t>tests” if researchers were to create an ex ante list of fraud markers. The</w:t>
      </w:r>
      <w:r w:rsidRPr="00517782">
        <w:rPr>
          <w:rFonts w:ascii="NewBaskerville-Roman" w:hAnsi="NewBaskerville-Roman" w:cs="NewBaskerville-Roman"/>
          <w:sz w:val="20"/>
          <w:szCs w:val="20"/>
          <w:highlight w:val="yellow"/>
        </w:rPr>
        <w:t xml:space="preserve"> </w:t>
      </w:r>
      <w:r w:rsidRPr="00517782">
        <w:rPr>
          <w:rFonts w:ascii="NewBaskerville-Roman" w:hAnsi="NewBaskerville-Roman" w:cs="NewBaskerville-Roman"/>
          <w:sz w:val="20"/>
          <w:szCs w:val="20"/>
          <w:highlight w:val="yellow"/>
        </w:rPr>
        <w:t>approach of Purda and Skillicorn [2015] relies heavily on deviations of the</w:t>
      </w:r>
      <w:r w:rsidRPr="00517782">
        <w:rPr>
          <w:rFonts w:ascii="NewBaskerville-Roman" w:hAnsi="NewBaskerville-Roman" w:cs="NewBaskerville-Roman"/>
          <w:sz w:val="20"/>
          <w:szCs w:val="20"/>
          <w:highlight w:val="yellow"/>
        </w:rPr>
        <w:t xml:space="preserve"> </w:t>
      </w:r>
      <w:r w:rsidRPr="00517782">
        <w:rPr>
          <w:rFonts w:ascii="NewBaskerville-Roman" w:hAnsi="NewBaskerville-Roman" w:cs="NewBaskerville-Roman"/>
          <w:sz w:val="20"/>
          <w:szCs w:val="20"/>
          <w:highlight w:val="yellow"/>
        </w:rPr>
        <w:t>firm from itself, highlighting the role (and potential potency) of using the</w:t>
      </w:r>
      <w:r w:rsidRPr="00517782">
        <w:rPr>
          <w:rFonts w:ascii="NewBaskerville-Roman" w:hAnsi="NewBaskerville-Roman" w:cs="NewBaskerville-Roman"/>
          <w:sz w:val="20"/>
          <w:szCs w:val="20"/>
          <w:highlight w:val="yellow"/>
        </w:rPr>
        <w:t xml:space="preserve"> </w:t>
      </w:r>
      <w:r w:rsidRPr="00517782">
        <w:rPr>
          <w:rFonts w:ascii="NewBaskerville-Roman" w:hAnsi="NewBaskerville-Roman" w:cs="NewBaskerville-Roman"/>
          <w:sz w:val="20"/>
          <w:szCs w:val="20"/>
          <w:highlight w:val="yellow"/>
        </w:rPr>
        <w:t>company as its own control</w:t>
      </w:r>
      <w:r>
        <w:rPr>
          <w:rFonts w:ascii="NewBaskerville-Roman" w:hAnsi="NewBaskerville-Roman" w:cs="NewBaskerville-Roman"/>
          <w:sz w:val="20"/>
          <w:szCs w:val="20"/>
        </w:rPr>
        <w:t xml:space="preserve">                                                                                                                                                                        </w:t>
      </w:r>
      <w:r>
        <w:rPr>
          <w:rFonts w:ascii="NewBaskerville-Roman" w:hAnsi="NewBaskerville-Roman" w:cs="NewBaskerville-Roman"/>
          <w:sz w:val="20"/>
          <w:szCs w:val="20"/>
        </w:rPr>
        <w:t>.</w:t>
      </w:r>
      <w:r w:rsidR="00443EAA">
        <w:br w:type="page"/>
      </w:r>
      <w:r w:rsidR="008F6397">
        <w:rPr>
          <w:noProof/>
        </w:rPr>
        <w:lastRenderedPageBreak/>
        <w:fldChar w:fldCharType="begin"/>
      </w:r>
      <w:r w:rsidR="008F6397">
        <w:instrText xml:space="preserve"> ADDIN EN.REFLIST </w:instrText>
      </w:r>
      <w:r w:rsidR="008F6397">
        <w:rPr>
          <w:noProof/>
        </w:rPr>
        <w:fldChar w:fldCharType="separate"/>
      </w:r>
      <w:r w:rsidR="00443EAA" w:rsidRPr="00443EAA">
        <w:rPr>
          <w:noProof/>
        </w:rPr>
        <w:t xml:space="preserve">Baker, M., &amp; Wurgler, J. (2006). Investor sentiment and the cross‐section of stock returns. </w:t>
      </w:r>
      <w:r w:rsidR="00443EAA" w:rsidRPr="00443EAA">
        <w:rPr>
          <w:i/>
          <w:noProof/>
        </w:rPr>
        <w:t>The Journal of Finance, 61</w:t>
      </w:r>
      <w:r w:rsidR="00443EAA" w:rsidRPr="00443EAA">
        <w:rPr>
          <w:noProof/>
        </w:rPr>
        <w:t xml:space="preserve">(4), 1645-1680. </w:t>
      </w:r>
      <w:r>
        <w:t xml:space="preserve"> </w:t>
      </w:r>
    </w:p>
    <w:p w:rsidR="00517782" w:rsidRDefault="00443EAA" w:rsidP="00517782">
      <w:pPr>
        <w:rPr>
          <w:noProof/>
        </w:rPr>
      </w:pPr>
      <w:r w:rsidRPr="00443EAA">
        <w:rPr>
          <w:noProof/>
        </w:rPr>
        <w:t xml:space="preserve">Da, Z., Engelberg, J., &amp; Gao, P. (2014). The sum of all FEARS investor sentiment and asset prices. </w:t>
      </w:r>
      <w:r w:rsidRPr="00443EAA">
        <w:rPr>
          <w:i/>
          <w:noProof/>
        </w:rPr>
        <w:t>The Review of Financial Studies, 28</w:t>
      </w:r>
      <w:r w:rsidRPr="00443EAA">
        <w:rPr>
          <w:noProof/>
        </w:rPr>
        <w:t xml:space="preserve">(1), 1-32. </w:t>
      </w:r>
      <w:r w:rsidR="00517782">
        <w:t xml:space="preserve"> </w:t>
      </w:r>
    </w:p>
    <w:p w:rsidR="00517782" w:rsidRDefault="00443EAA" w:rsidP="00517782">
      <w:pPr>
        <w:rPr>
          <w:noProof/>
        </w:rPr>
      </w:pPr>
      <w:r w:rsidRPr="00443EAA">
        <w:rPr>
          <w:noProof/>
        </w:rPr>
        <w:t xml:space="preserve">Garcia, D. (2013). Sentiment during recessions. </w:t>
      </w:r>
      <w:r w:rsidRPr="00443EAA">
        <w:rPr>
          <w:i/>
          <w:noProof/>
        </w:rPr>
        <w:t>The Journal of Finance, 68</w:t>
      </w:r>
      <w:r w:rsidRPr="00443EAA">
        <w:rPr>
          <w:noProof/>
        </w:rPr>
        <w:t xml:space="preserve">(3), 1267-1300. </w:t>
      </w:r>
      <w:r w:rsidR="00517782">
        <w:t xml:space="preserve"> </w:t>
      </w:r>
    </w:p>
    <w:p w:rsidR="00517782" w:rsidRDefault="00443EAA" w:rsidP="00517782">
      <w:r w:rsidRPr="00443EAA">
        <w:rPr>
          <w:noProof/>
        </w:rPr>
        <w:t xml:space="preserve">Loughran, T., &amp; McDonald, B. (2016). Textual analysis in accounting and finance: A survey. </w:t>
      </w:r>
      <w:r w:rsidRPr="00443EAA">
        <w:rPr>
          <w:i/>
          <w:noProof/>
        </w:rPr>
        <w:t>Journal of Accounting Research, 54</w:t>
      </w:r>
      <w:r w:rsidRPr="00443EAA">
        <w:rPr>
          <w:noProof/>
        </w:rPr>
        <w:t xml:space="preserve">(4), 1187-1230. </w:t>
      </w:r>
      <w:r w:rsidR="00517782">
        <w:t xml:space="preserve"> </w:t>
      </w:r>
    </w:p>
    <w:p w:rsidR="008F6397" w:rsidRPr="00B4691F" w:rsidRDefault="00443EAA" w:rsidP="00517782">
      <w:r w:rsidRPr="00443EAA">
        <w:rPr>
          <w:noProof/>
        </w:rPr>
        <w:t xml:space="preserve">Tetlock, P. C. (2007). Giving content to investor sentiment: The role of media in the stock market. </w:t>
      </w:r>
      <w:r w:rsidRPr="00443EAA">
        <w:rPr>
          <w:i/>
          <w:noProof/>
        </w:rPr>
        <w:t>The Journal of Finance, 62</w:t>
      </w:r>
      <w:r w:rsidRPr="00443EAA">
        <w:rPr>
          <w:noProof/>
        </w:rPr>
        <w:t xml:space="preserve">(3), 1139-1168. </w:t>
      </w:r>
      <w:r w:rsidR="00517782">
        <w:t xml:space="preserve"> </w:t>
      </w:r>
      <w:r w:rsidR="008F6397">
        <w:fldChar w:fldCharType="end"/>
      </w:r>
      <w:r w:rsidR="00517782">
        <w:t xml:space="preserve"> </w:t>
      </w:r>
    </w:p>
    <w:sectPr w:rsidR="008F6397" w:rsidRPr="00B4691F">
      <w:footerReference w:type="default" r:id="rId5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D3F70" w:rsidRDefault="001D3F70" w:rsidP="00B41C77">
      <w:pPr>
        <w:spacing w:after="0" w:line="240" w:lineRule="auto"/>
      </w:pPr>
      <w:r>
        <w:separator/>
      </w:r>
    </w:p>
  </w:endnote>
  <w:endnote w:type="continuationSeparator" w:id="0">
    <w:p w:rsidR="001D3F70" w:rsidRDefault="001D3F70" w:rsidP="00B41C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Times-Roman">
    <w:panose1 w:val="00000000000000000000"/>
    <w:charset w:val="00"/>
    <w:family w:val="roman"/>
    <w:notTrueType/>
    <w:pitch w:val="default"/>
    <w:sig w:usb0="00000003" w:usb1="00000000" w:usb2="00000000" w:usb3="00000000" w:csb0="00000001" w:csb1="00000000"/>
  </w:font>
  <w:font w:name="NewBaskerville-Roman">
    <w:panose1 w:val="00000000000000000000"/>
    <w:charset w:val="00"/>
    <w:family w:val="roman"/>
    <w:notTrueType/>
    <w:pitch w:val="default"/>
    <w:sig w:usb0="00000003" w:usb1="00000000" w:usb2="00000000" w:usb3="00000000" w:csb0="00000001" w:csb1="00000000"/>
  </w:font>
  <w:font w:name="NewBaskerville-Italic">
    <w:panose1 w:val="00000000000000000000"/>
    <w:charset w:val="00"/>
    <w:family w:val="roman"/>
    <w:notTrueType/>
    <w:pitch w:val="default"/>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58971610"/>
      <w:docPartObj>
        <w:docPartGallery w:val="Page Numbers (Bottom of Page)"/>
        <w:docPartUnique/>
      </w:docPartObj>
    </w:sdtPr>
    <w:sdtEndPr>
      <w:rPr>
        <w:noProof/>
      </w:rPr>
    </w:sdtEndPr>
    <w:sdtContent>
      <w:p w:rsidR="00B41C77" w:rsidRDefault="00B41C77">
        <w:pPr>
          <w:pStyle w:val="Footer"/>
        </w:pPr>
        <w:r>
          <w:fldChar w:fldCharType="begin"/>
        </w:r>
        <w:r>
          <w:instrText xml:space="preserve"> PAGE   \* MERGEFORMAT </w:instrText>
        </w:r>
        <w:r>
          <w:fldChar w:fldCharType="separate"/>
        </w:r>
        <w:r w:rsidR="005E1369">
          <w:rPr>
            <w:noProof/>
          </w:rPr>
          <w:t>25</w:t>
        </w:r>
        <w:r>
          <w:rPr>
            <w:noProof/>
          </w:rPr>
          <w:fldChar w:fldCharType="end"/>
        </w:r>
        <w:r>
          <w:tab/>
        </w:r>
        <w:r>
          <w:fldChar w:fldCharType="begin"/>
        </w:r>
        <w:r>
          <w:instrText xml:space="preserve"> DATE \@ "dd/MM/yyyy" </w:instrText>
        </w:r>
        <w:r>
          <w:fldChar w:fldCharType="separate"/>
        </w:r>
        <w:r w:rsidR="00443EAA">
          <w:rPr>
            <w:noProof/>
          </w:rPr>
          <w:t>06/07/2017</w:t>
        </w:r>
        <w: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D3F70" w:rsidRDefault="001D3F70" w:rsidP="00B41C77">
      <w:pPr>
        <w:spacing w:after="0" w:line="240" w:lineRule="auto"/>
      </w:pPr>
      <w:r>
        <w:separator/>
      </w:r>
    </w:p>
  </w:footnote>
  <w:footnote w:type="continuationSeparator" w:id="0">
    <w:p w:rsidR="001D3F70" w:rsidRDefault="001D3F70" w:rsidP="00B41C77">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APA 6th&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rvvd5eevadrpawezf59xdew70wa0vvsvrv02&quot;&gt;MothuBib Copy (2)&lt;record-ids&gt;&lt;item&gt;4&lt;/item&gt;&lt;item&gt;16&lt;/item&gt;&lt;item&gt;251&lt;/item&gt;&lt;item&gt;1790&lt;/item&gt;&lt;item&gt;1792&lt;/item&gt;&lt;/record-ids&gt;&lt;/item&gt;&lt;/Libraries&gt;"/>
  </w:docVars>
  <w:rsids>
    <w:rsidRoot w:val="00163640"/>
    <w:rsid w:val="000A7E6C"/>
    <w:rsid w:val="000C0F36"/>
    <w:rsid w:val="001363AC"/>
    <w:rsid w:val="00162E4A"/>
    <w:rsid w:val="00163640"/>
    <w:rsid w:val="00181058"/>
    <w:rsid w:val="00194FDE"/>
    <w:rsid w:val="001D3F70"/>
    <w:rsid w:val="002872C0"/>
    <w:rsid w:val="003A60A5"/>
    <w:rsid w:val="0041130A"/>
    <w:rsid w:val="00443EAA"/>
    <w:rsid w:val="00470F81"/>
    <w:rsid w:val="00517782"/>
    <w:rsid w:val="005E1369"/>
    <w:rsid w:val="006228FF"/>
    <w:rsid w:val="00624D0D"/>
    <w:rsid w:val="0064454D"/>
    <w:rsid w:val="006C469D"/>
    <w:rsid w:val="008F6397"/>
    <w:rsid w:val="009569DA"/>
    <w:rsid w:val="00A83420"/>
    <w:rsid w:val="00B33CF8"/>
    <w:rsid w:val="00B41C77"/>
    <w:rsid w:val="00B4691F"/>
    <w:rsid w:val="00BF6E07"/>
    <w:rsid w:val="00DD2FD5"/>
    <w:rsid w:val="00F26216"/>
    <w:rsid w:val="00F863CA"/>
    <w:rsid w:val="00FC55D0"/>
    <w:rsid w:val="00FE03B0"/>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076A2EA5-8589-4431-96CC-0F08E6B1B3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6228F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228FF"/>
    <w:rPr>
      <w:rFonts w:ascii="Segoe UI" w:hAnsi="Segoe UI" w:cs="Segoe UI"/>
      <w:sz w:val="18"/>
      <w:szCs w:val="18"/>
    </w:rPr>
  </w:style>
  <w:style w:type="paragraph" w:customStyle="1" w:styleId="EndNoteBibliographyTitle">
    <w:name w:val="EndNote Bibliography Title"/>
    <w:basedOn w:val="Normal"/>
    <w:link w:val="EndNoteBibliographyTitleChar"/>
    <w:rsid w:val="008F6397"/>
    <w:pPr>
      <w:spacing w:after="0"/>
      <w:jc w:val="center"/>
    </w:pPr>
    <w:rPr>
      <w:rFonts w:ascii="Calibri" w:hAnsi="Calibri" w:cs="Calibri"/>
      <w:noProof/>
      <w:lang w:val="en-US"/>
    </w:rPr>
  </w:style>
  <w:style w:type="character" w:customStyle="1" w:styleId="EndNoteBibliographyTitleChar">
    <w:name w:val="EndNote Bibliography Title Char"/>
    <w:basedOn w:val="DefaultParagraphFont"/>
    <w:link w:val="EndNoteBibliographyTitle"/>
    <w:rsid w:val="008F6397"/>
    <w:rPr>
      <w:rFonts w:ascii="Calibri" w:hAnsi="Calibri" w:cs="Calibri"/>
      <w:noProof/>
      <w:lang w:val="en-US"/>
    </w:rPr>
  </w:style>
  <w:style w:type="paragraph" w:customStyle="1" w:styleId="EndNoteBibliography">
    <w:name w:val="EndNote Bibliography"/>
    <w:basedOn w:val="Normal"/>
    <w:link w:val="EndNoteBibliographyChar"/>
    <w:rsid w:val="008F6397"/>
    <w:pPr>
      <w:spacing w:line="240" w:lineRule="auto"/>
    </w:pPr>
    <w:rPr>
      <w:rFonts w:ascii="Calibri" w:hAnsi="Calibri" w:cs="Calibri"/>
      <w:noProof/>
      <w:lang w:val="en-US"/>
    </w:rPr>
  </w:style>
  <w:style w:type="character" w:customStyle="1" w:styleId="EndNoteBibliographyChar">
    <w:name w:val="EndNote Bibliography Char"/>
    <w:basedOn w:val="DefaultParagraphFont"/>
    <w:link w:val="EndNoteBibliography"/>
    <w:rsid w:val="008F6397"/>
    <w:rPr>
      <w:rFonts w:ascii="Calibri" w:hAnsi="Calibri" w:cs="Calibri"/>
      <w:noProof/>
      <w:lang w:val="en-US"/>
    </w:rPr>
  </w:style>
  <w:style w:type="paragraph" w:styleId="Header">
    <w:name w:val="header"/>
    <w:basedOn w:val="Normal"/>
    <w:link w:val="HeaderChar"/>
    <w:uiPriority w:val="99"/>
    <w:unhideWhenUsed/>
    <w:rsid w:val="00B41C77"/>
    <w:pPr>
      <w:tabs>
        <w:tab w:val="center" w:pos="4513"/>
        <w:tab w:val="right" w:pos="9026"/>
      </w:tabs>
      <w:spacing w:after="0" w:line="240" w:lineRule="auto"/>
    </w:pPr>
  </w:style>
  <w:style w:type="character" w:customStyle="1" w:styleId="HeaderChar">
    <w:name w:val="Header Char"/>
    <w:basedOn w:val="DefaultParagraphFont"/>
    <w:link w:val="Header"/>
    <w:uiPriority w:val="99"/>
    <w:rsid w:val="00B41C77"/>
  </w:style>
  <w:style w:type="paragraph" w:styleId="Footer">
    <w:name w:val="footer"/>
    <w:basedOn w:val="Normal"/>
    <w:link w:val="FooterChar"/>
    <w:uiPriority w:val="99"/>
    <w:unhideWhenUsed/>
    <w:rsid w:val="00B41C77"/>
    <w:pPr>
      <w:tabs>
        <w:tab w:val="center" w:pos="4513"/>
        <w:tab w:val="right" w:pos="9026"/>
      </w:tabs>
      <w:spacing w:after="0" w:line="240" w:lineRule="auto"/>
    </w:pPr>
  </w:style>
  <w:style w:type="character" w:customStyle="1" w:styleId="FooterChar">
    <w:name w:val="Footer Char"/>
    <w:basedOn w:val="DefaultParagraphFont"/>
    <w:link w:val="Footer"/>
    <w:uiPriority w:val="99"/>
    <w:rsid w:val="00B41C77"/>
  </w:style>
  <w:style w:type="paragraph" w:styleId="ListParagraph">
    <w:name w:val="List Paragraph"/>
    <w:basedOn w:val="Normal"/>
    <w:uiPriority w:val="34"/>
    <w:qFormat/>
    <w:rsid w:val="00624D0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emf"/><Relationship Id="rId18" Type="http://schemas.openxmlformats.org/officeDocument/2006/relationships/image" Target="media/image12.emf"/><Relationship Id="rId26" Type="http://schemas.openxmlformats.org/officeDocument/2006/relationships/image" Target="media/image20.emf"/><Relationship Id="rId39" Type="http://schemas.openxmlformats.org/officeDocument/2006/relationships/image" Target="media/image33.emf"/><Relationship Id="rId21" Type="http://schemas.openxmlformats.org/officeDocument/2006/relationships/image" Target="media/image15.emf"/><Relationship Id="rId34" Type="http://schemas.openxmlformats.org/officeDocument/2006/relationships/image" Target="media/image28.emf"/><Relationship Id="rId42" Type="http://schemas.openxmlformats.org/officeDocument/2006/relationships/image" Target="media/image36.emf"/><Relationship Id="rId47" Type="http://schemas.openxmlformats.org/officeDocument/2006/relationships/image" Target="media/image41.emf"/><Relationship Id="rId50" Type="http://schemas.openxmlformats.org/officeDocument/2006/relationships/image" Target="media/image44.emf"/><Relationship Id="rId55" Type="http://schemas.openxmlformats.org/officeDocument/2006/relationships/image" Target="media/image49.emf"/><Relationship Id="rId7" Type="http://schemas.openxmlformats.org/officeDocument/2006/relationships/image" Target="media/image1.emf"/><Relationship Id="rId12" Type="http://schemas.openxmlformats.org/officeDocument/2006/relationships/image" Target="media/image6.emf"/><Relationship Id="rId17" Type="http://schemas.openxmlformats.org/officeDocument/2006/relationships/image" Target="media/image11.emf"/><Relationship Id="rId25" Type="http://schemas.openxmlformats.org/officeDocument/2006/relationships/image" Target="media/image19.emf"/><Relationship Id="rId33" Type="http://schemas.openxmlformats.org/officeDocument/2006/relationships/image" Target="media/image27.emf"/><Relationship Id="rId38" Type="http://schemas.openxmlformats.org/officeDocument/2006/relationships/image" Target="media/image32.emf"/><Relationship Id="rId46" Type="http://schemas.openxmlformats.org/officeDocument/2006/relationships/image" Target="media/image40.emf"/><Relationship Id="rId59"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emf"/><Relationship Id="rId20" Type="http://schemas.openxmlformats.org/officeDocument/2006/relationships/image" Target="media/image14.emf"/><Relationship Id="rId29" Type="http://schemas.openxmlformats.org/officeDocument/2006/relationships/image" Target="media/image23.emf"/><Relationship Id="rId41" Type="http://schemas.openxmlformats.org/officeDocument/2006/relationships/image" Target="media/image35.emf"/><Relationship Id="rId54" Type="http://schemas.openxmlformats.org/officeDocument/2006/relationships/image" Target="media/image48.emf"/><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emf"/><Relationship Id="rId24" Type="http://schemas.openxmlformats.org/officeDocument/2006/relationships/image" Target="media/image18.emf"/><Relationship Id="rId32" Type="http://schemas.openxmlformats.org/officeDocument/2006/relationships/image" Target="media/image26.emf"/><Relationship Id="rId37" Type="http://schemas.openxmlformats.org/officeDocument/2006/relationships/image" Target="media/image31.emf"/><Relationship Id="rId40" Type="http://schemas.openxmlformats.org/officeDocument/2006/relationships/image" Target="media/image34.emf"/><Relationship Id="rId45" Type="http://schemas.openxmlformats.org/officeDocument/2006/relationships/image" Target="media/image39.emf"/><Relationship Id="rId53" Type="http://schemas.openxmlformats.org/officeDocument/2006/relationships/image" Target="media/image47.emf"/><Relationship Id="rId58"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emf"/><Relationship Id="rId23" Type="http://schemas.openxmlformats.org/officeDocument/2006/relationships/image" Target="media/image17.emf"/><Relationship Id="rId28" Type="http://schemas.openxmlformats.org/officeDocument/2006/relationships/image" Target="media/image22.emf"/><Relationship Id="rId36" Type="http://schemas.openxmlformats.org/officeDocument/2006/relationships/image" Target="media/image30.emf"/><Relationship Id="rId49" Type="http://schemas.openxmlformats.org/officeDocument/2006/relationships/image" Target="media/image43.emf"/><Relationship Id="rId57" Type="http://schemas.openxmlformats.org/officeDocument/2006/relationships/footer" Target="footer1.xml"/><Relationship Id="rId10" Type="http://schemas.openxmlformats.org/officeDocument/2006/relationships/image" Target="media/image4.emf"/><Relationship Id="rId19" Type="http://schemas.openxmlformats.org/officeDocument/2006/relationships/image" Target="media/image13.emf"/><Relationship Id="rId31" Type="http://schemas.openxmlformats.org/officeDocument/2006/relationships/image" Target="media/image25.emf"/><Relationship Id="rId44" Type="http://schemas.openxmlformats.org/officeDocument/2006/relationships/image" Target="media/image38.emf"/><Relationship Id="rId52" Type="http://schemas.openxmlformats.org/officeDocument/2006/relationships/image" Target="media/image46.emf"/><Relationship Id="rId4" Type="http://schemas.openxmlformats.org/officeDocument/2006/relationships/webSettings" Target="webSettings.xml"/><Relationship Id="rId9" Type="http://schemas.openxmlformats.org/officeDocument/2006/relationships/image" Target="media/image3.emf"/><Relationship Id="rId14" Type="http://schemas.openxmlformats.org/officeDocument/2006/relationships/image" Target="media/image8.emf"/><Relationship Id="rId22" Type="http://schemas.openxmlformats.org/officeDocument/2006/relationships/image" Target="media/image16.emf"/><Relationship Id="rId27" Type="http://schemas.openxmlformats.org/officeDocument/2006/relationships/image" Target="media/image21.emf"/><Relationship Id="rId30" Type="http://schemas.openxmlformats.org/officeDocument/2006/relationships/image" Target="media/image24.emf"/><Relationship Id="rId35" Type="http://schemas.openxmlformats.org/officeDocument/2006/relationships/image" Target="media/image29.emf"/><Relationship Id="rId43" Type="http://schemas.openxmlformats.org/officeDocument/2006/relationships/image" Target="media/image37.emf"/><Relationship Id="rId48" Type="http://schemas.openxmlformats.org/officeDocument/2006/relationships/image" Target="media/image42.emf"/><Relationship Id="rId56" Type="http://schemas.openxmlformats.org/officeDocument/2006/relationships/image" Target="media/image50.emf"/><Relationship Id="rId8" Type="http://schemas.openxmlformats.org/officeDocument/2006/relationships/image" Target="media/image2.emf"/><Relationship Id="rId51" Type="http://schemas.openxmlformats.org/officeDocument/2006/relationships/image" Target="media/image45.emf"/><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924A6D0-34A9-431C-B79D-15004F24E3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829</TotalTime>
  <Pages>26</Pages>
  <Words>2688</Words>
  <Characters>15326</Characters>
  <Application>Microsoft Office Word</Application>
  <DocSecurity>0</DocSecurity>
  <Lines>127</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17979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khurshid</dc:creator>
  <cp:keywords/>
  <dc:description/>
  <cp:lastModifiedBy>khurshid</cp:lastModifiedBy>
  <cp:revision>11</cp:revision>
  <cp:lastPrinted>2017-07-03T00:42:00Z</cp:lastPrinted>
  <dcterms:created xsi:type="dcterms:W3CDTF">2017-07-02T11:57:00Z</dcterms:created>
  <dcterms:modified xsi:type="dcterms:W3CDTF">2017-07-06T00:50:00Z</dcterms:modified>
</cp:coreProperties>
</file>